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200"/>
        <w:jc w:val="center"/>
      </w:pPr>
      <w:r>
        <w:rPr>
          <w:rFonts w:ascii="Calibri" w:hAnsi="Calibri"/>
          <w:b/>
          <w:color w:val="132238"/>
          <w:sz w:val="60"/>
        </w:rPr>
        <w:t>ELLIOTT WAVE TERMINAL</w:t>
      </w:r>
    </w:p>
    <w:p>
      <w:pPr>
        <w:spacing w:after="400"/>
        <w:jc w:val="center"/>
      </w:pPr>
      <w:r>
        <w:rPr>
          <w:color w:val="1976A3"/>
          <w:sz w:val="32"/>
        </w:rPr>
        <w:t>Simple User Guide</w:t>
      </w:r>
    </w:p>
    <w:p>
      <w:pPr>
        <w:spacing w:after="560"/>
        <w:jc w:val="center"/>
      </w:pPr>
      <w:r>
        <w:rPr>
          <w:i/>
          <w:color w:val="647184"/>
          <w:sz w:val="21"/>
        </w:rPr>
        <w:t>Choose a market  |  Read the chart  |  Check risk</w:t>
      </w:r>
    </w:p>
    <w:p>
      <w:pPr>
        <w:jc w:val="center"/>
      </w:pPr>
      <w:r>
        <w:drawing>
          <wp:inline xmlns:a="http://schemas.openxmlformats.org/drawingml/2006/main" xmlns:pic="http://schemas.openxmlformats.org/drawingml/2006/picture">
            <wp:extent cx="5897880" cy="5052201"/>
            <wp:docPr id="1" name="Picture 1" descr="Elliott Wave Terminal showing market controls, status cards, chart, and Structure Inspector." title="Elliott Wave Terminal showing market controls, status cards, chart, and Structure Inspector."/>
            <wp:cNvGraphicFramePr>
              <a:graphicFrameLocks noChangeAspect="1"/>
            </wp:cNvGraphicFramePr>
            <a:graphic>
              <a:graphicData uri="http://schemas.openxmlformats.org/drawingml/2006/picture">
                <pic:pic>
                  <pic:nvPicPr>
                    <pic:cNvPr id="0" name="terminal-overview.png"/>
                    <pic:cNvPicPr/>
                  </pic:nvPicPr>
                  <pic:blipFill>
                    <a:blip r:embed="rId11"/>
                    <a:stretch>
                      <a:fillRect/>
                    </a:stretch>
                  </pic:blipFill>
                  <pic:spPr>
                    <a:xfrm>
                      <a:off x="0" y="0"/>
                      <a:ext cx="5897880" cy="5052201"/>
                    </a:xfrm>
                    <a:prstGeom prst="rect"/>
                  </pic:spPr>
                </pic:pic>
              </a:graphicData>
            </a:graphic>
          </wp:inline>
        </w:drawing>
      </w:r>
    </w:p>
    <w:p>
      <w:pPr>
        <w:spacing w:before="280"/>
        <w:jc w:val="center"/>
      </w:pPr>
      <w:r>
        <w:rPr>
          <w:b/>
          <w:color w:val="168A62"/>
        </w:rPr>
        <w:t>Written in simple English for new users</w:t>
      </w:r>
    </w:p>
    <w:p>
      <w:pPr>
        <w:jc w:val="center"/>
      </w:pPr>
      <w:r>
        <w:rPr>
          <w:color w:val="647184"/>
        </w:rPr>
        <w:t>Version 1.1  |  2 July 2026</w:t>
      </w:r>
    </w:p>
    <w:p>
      <w:r>
        <w:br w:type="page"/>
      </w:r>
    </w:p>
    <w:p>
      <w:pPr>
        <w:pStyle w:val="Heading1"/>
      </w:pPr>
      <w:r>
        <w:t>Start here</w:t>
      </w:r>
    </w:p>
    <w:p>
      <w:r>
        <w:t>This tool studies price charts. It looks for Elliott Wave patterns. It shows possible trade ideas. You must make the final decision.</w:t>
      </w:r>
    </w:p>
    <w:tbl>
      <w:tblPr>
        <w:tblW w:type="auto" w:w="0"/>
        <w:jc w:val="left"/>
        <w:tblLayout w:type="fixed"/>
        <w:tblLook w:firstColumn="1" w:firstRow="1" w:lastColumn="0" w:lastRow="0" w:noHBand="0" w:noVBand="1" w:val="04A0"/>
      </w:tblPr>
      <w:tblGrid>
        <w:gridCol w:w="9878"/>
      </w:tblGrid>
      <w:tr>
        <w:tc>
          <w:tcPr>
            <w:tcW w:type="dxa" w:w="9360"/>
            <w:shd w:fill="F4F6F9"/>
            <w:tcMar>
              <w:top w:w="120" w:type="dxa"/>
              <w:start w:w="160" w:type="dxa"/>
              <w:bottom w:w="120" w:type="dxa"/>
              <w:end w:w="160" w:type="dxa"/>
            </w:tcMar>
          </w:tcPr>
          <w:p>
            <w:pPr>
              <w:spacing w:after="0"/>
            </w:pPr>
            <w:r>
              <w:rPr>
                <w:b/>
                <w:color w:val="C43D4B"/>
              </w:rPr>
              <w:t xml:space="preserve">Important: </w:t>
            </w:r>
            <w:r>
              <w:rPr>
                <w:color w:val="1E2936"/>
              </w:rPr>
              <w:t>The tool can be wrong. A high score does not mean sure profit. Do not trade money that you cannot afford to lose.</w:t>
            </w:r>
          </w:p>
        </w:tc>
      </w:tr>
    </w:tbl>
    <w:p>
      <w:pPr>
        <w:spacing w:after="20"/>
      </w:pPr>
    </w:p>
    <w:p>
      <w:pPr>
        <w:pStyle w:val="Heading2"/>
      </w:pPr>
      <w:r>
        <w:t>Open the tool</w:t>
      </w:r>
    </w:p>
    <w:p>
      <w:pPr>
        <w:pStyle w:val="ListNumber"/>
      </w:pPr>
      <w:r>
        <w:rPr>
          <w:b/>
        </w:rPr>
        <w:t xml:space="preserve">Open PowerShell. </w:t>
      </w:r>
      <w:r>
        <w:t>Go to the Chiru_Trade folder.</w:t>
      </w:r>
    </w:p>
    <w:p>
      <w:pPr>
        <w:pStyle w:val="ListNumber"/>
      </w:pPr>
      <w:r>
        <w:rPr>
          <w:b/>
        </w:rPr>
        <w:t xml:space="preserve">Start the program. </w:t>
      </w:r>
      <w:r>
        <w:t>Type: python -m streamlit run app.py</w:t>
      </w:r>
    </w:p>
    <w:p>
      <w:pPr>
        <w:pStyle w:val="ListNumber"/>
      </w:pPr>
      <w:r>
        <w:rPr>
          <w:b/>
        </w:rPr>
        <w:t xml:space="preserve">Open the page. </w:t>
      </w:r>
      <w:r>
        <w:t>The tool normally opens in your web browser.</w:t>
      </w:r>
    </w:p>
    <w:p>
      <w:pPr>
        <w:pStyle w:val="Heading2"/>
      </w:pPr>
      <w:r>
        <w:t>Use the tool in 7 easy steps</w:t>
      </w:r>
    </w:p>
    <w:p>
      <w:pPr>
        <w:pStyle w:val="ListNumber"/>
      </w:pPr>
      <w:r>
        <w:rPr>
          <w:b/>
        </w:rPr>
        <w:t xml:space="preserve">Choose Market. </w:t>
      </w:r>
      <w:r>
        <w:t>Example: NIFTY 50, Bitcoin, Gold, or a company share.</w:t>
      </w:r>
    </w:p>
    <w:p>
      <w:pPr>
        <w:pStyle w:val="ListNumber"/>
      </w:pPr>
      <w:r>
        <w:rPr>
          <w:b/>
        </w:rPr>
        <w:t xml:space="preserve">Choose Timeframe. </w:t>
      </w:r>
      <w:r>
        <w:t>Use 4H or 1D to see the big picture. Use 1H or 30M to see more detail.</w:t>
      </w:r>
    </w:p>
    <w:p>
      <w:pPr>
        <w:pStyle w:val="ListNumber"/>
      </w:pPr>
      <w:r>
        <w:rPr>
          <w:b/>
        </w:rPr>
        <w:t xml:space="preserve">Keep normal settings. </w:t>
      </w:r>
      <w:r>
        <w:t>For a new user, keep Balanced, Actionable, ATR 2.0, and ATR Period 14.</w:t>
      </w:r>
    </w:p>
    <w:p>
      <w:pPr>
        <w:pStyle w:val="ListNumber"/>
      </w:pPr>
      <w:r>
        <w:rPr>
          <w:b/>
        </w:rPr>
        <w:t xml:space="preserve">Look at Structure Inspector. </w:t>
      </w:r>
      <w:r>
        <w:t>Choose one path. Start with path number 1.</w:t>
      </w:r>
    </w:p>
    <w:p>
      <w:pPr>
        <w:pStyle w:val="ListNumber"/>
      </w:pPr>
      <w:r>
        <w:rPr>
          <w:b/>
        </w:rPr>
        <w:t xml:space="preserve">Read the status. </w:t>
      </w:r>
      <w:r>
        <w:t>EntryReady means the pattern may be ready. Forming means wait. Completed means the old pattern has finished.</w:t>
      </w:r>
    </w:p>
    <w:p>
      <w:pPr>
        <w:pStyle w:val="ListNumber"/>
      </w:pPr>
      <w:r>
        <w:rPr>
          <w:b/>
        </w:rPr>
        <w:t xml:space="preserve">Read the three prices. </w:t>
      </w:r>
      <w:r>
        <w:t>Check Entry, Stop or Invalidation, and Target zone.</w:t>
      </w:r>
    </w:p>
    <w:p>
      <w:pPr>
        <w:pStyle w:val="ListNumber"/>
      </w:pPr>
      <w:r>
        <w:rPr>
          <w:b/>
        </w:rPr>
        <w:t xml:space="preserve">Check risk. </w:t>
      </w:r>
      <w:r>
        <w:t>Do not trade only because the tool shows a Buy or Sell idea.</w:t>
      </w:r>
    </w:p>
    <w:tbl>
      <w:tblPr>
        <w:tblW w:type="auto" w:w="0"/>
        <w:jc w:val="left"/>
        <w:tblLayout w:type="fixed"/>
        <w:tblLook w:firstColumn="1" w:firstRow="1" w:lastColumn="0" w:lastRow="0" w:noHBand="0" w:noVBand="1" w:val="04A0"/>
      </w:tblPr>
      <w:tblGrid>
        <w:gridCol w:w="9878"/>
      </w:tblGrid>
      <w:tr>
        <w:tc>
          <w:tcPr>
            <w:tcW w:type="dxa" w:w="9360"/>
            <w:shd w:fill="F4F6F9"/>
            <w:tcMar>
              <w:top w:w="120" w:type="dxa"/>
              <w:start w:w="160" w:type="dxa"/>
              <w:bottom w:w="120" w:type="dxa"/>
              <w:end w:w="160" w:type="dxa"/>
            </w:tcMar>
          </w:tcPr>
          <w:p>
            <w:pPr>
              <w:spacing w:after="0"/>
            </w:pPr>
            <w:r>
              <w:rPr>
                <w:b/>
                <w:color w:val="A97200"/>
              </w:rPr>
              <w:t xml:space="preserve">Simple rule: </w:t>
            </w:r>
            <w:r>
              <w:rPr>
                <w:color w:val="1E2936"/>
              </w:rPr>
              <w:t>If you do not understand the pattern, score, stop price, or target, do not trade.</w:t>
            </w:r>
          </w:p>
        </w:tc>
      </w:tr>
    </w:tbl>
    <w:p>
      <w:pPr>
        <w:spacing w:after="20"/>
      </w:pPr>
    </w:p>
    <w:p>
      <w:pPr>
        <w:pStyle w:val="Heading2"/>
      </w:pPr>
      <w:r>
        <w:t>Words you will see often</w:t>
      </w:r>
    </w:p>
    <w:tbl>
      <w:tblPr>
        <w:tblStyle w:val="TableGrid"/>
        <w:tblW w:type="auto" w:w="0"/>
        <w:jc w:val="left"/>
        <w:tblLayout w:type="fixed"/>
        <w:tblLook w:firstColumn="1" w:firstRow="1" w:lastColumn="0" w:lastRow="0" w:noHBand="0" w:noVBand="1" w:val="04A0"/>
      </w:tblPr>
      <w:tblGrid>
        <w:gridCol w:w="4939"/>
        <w:gridCol w:w="4939"/>
      </w:tblGrid>
      <w:tr>
        <w:trPr>
          <w:tblHeader w:val="true"/>
        </w:trPr>
        <w:tc>
          <w:tcPr>
            <w:tcW w:type="dxa" w:w="2300"/>
            <w:shd w:fill="E8EEF5"/>
            <w:vAlign w:val="center"/>
            <w:tcMar>
              <w:top w:w="90" w:type="dxa"/>
              <w:start w:w="120" w:type="dxa"/>
              <w:bottom w:w="90" w:type="dxa"/>
              <w:end w:w="120" w:type="dxa"/>
            </w:tcMar>
          </w:tcPr>
          <w:p>
            <w:r>
              <w:rPr>
                <w:b/>
                <w:color w:val="132238"/>
                <w:sz w:val="19"/>
              </w:rPr>
              <w:t>Word</w:t>
            </w:r>
          </w:p>
        </w:tc>
        <w:tc>
          <w:tcPr>
            <w:tcW w:type="dxa" w:w="7060"/>
            <w:shd w:fill="E8EEF5"/>
            <w:vAlign w:val="center"/>
            <w:tcMar>
              <w:top w:w="90" w:type="dxa"/>
              <w:start w:w="120" w:type="dxa"/>
              <w:bottom w:w="90" w:type="dxa"/>
              <w:end w:w="120" w:type="dxa"/>
            </w:tcMar>
          </w:tcPr>
          <w:p>
            <w:r>
              <w:rPr>
                <w:b/>
                <w:color w:val="132238"/>
                <w:sz w:val="19"/>
              </w:rPr>
              <w:t>Simple meaning</w:t>
            </w:r>
          </w:p>
        </w:tc>
      </w:tr>
      <w:tr>
        <w:trPr>
          <w:cantSplit/>
        </w:trPr>
        <w:tc>
          <w:tcPr>
            <w:tcW w:type="dxa" w:w="2300"/>
            <w:vAlign w:val="center"/>
            <w:tcMar>
              <w:top w:w="90" w:type="dxa"/>
              <w:start w:w="120" w:type="dxa"/>
              <w:bottom w:w="90" w:type="dxa"/>
              <w:end w:w="120" w:type="dxa"/>
            </w:tcMar>
          </w:tcPr>
          <w:p>
            <w:pPr>
              <w:spacing w:after="0"/>
            </w:pPr>
            <w:r>
              <w:rPr>
                <w:color w:val="1E2936"/>
                <w:sz w:val="18"/>
              </w:rPr>
              <w:t>Bullish</w:t>
            </w:r>
          </w:p>
        </w:tc>
        <w:tc>
          <w:tcPr>
            <w:tcW w:type="dxa" w:w="7060"/>
            <w:vAlign w:val="center"/>
            <w:tcMar>
              <w:top w:w="90" w:type="dxa"/>
              <w:start w:w="120" w:type="dxa"/>
              <w:bottom w:w="90" w:type="dxa"/>
              <w:end w:w="120" w:type="dxa"/>
            </w:tcMar>
          </w:tcPr>
          <w:p>
            <w:pPr>
              <w:spacing w:after="0"/>
            </w:pPr>
            <w:r>
              <w:rPr>
                <w:color w:val="1E2936"/>
                <w:sz w:val="18"/>
              </w:rPr>
              <w:t>The pattern may move up.</w:t>
            </w:r>
          </w:p>
        </w:tc>
      </w:tr>
      <w:tr>
        <w:trPr>
          <w:cantSplit/>
        </w:trPr>
        <w:tc>
          <w:tcPr>
            <w:tcW w:type="dxa" w:w="2300"/>
            <w:vAlign w:val="center"/>
            <w:tcMar>
              <w:top w:w="90" w:type="dxa"/>
              <w:start w:w="120" w:type="dxa"/>
              <w:bottom w:w="90" w:type="dxa"/>
              <w:end w:w="120" w:type="dxa"/>
            </w:tcMar>
          </w:tcPr>
          <w:p>
            <w:pPr>
              <w:spacing w:after="0"/>
            </w:pPr>
            <w:r>
              <w:rPr>
                <w:color w:val="1E2936"/>
                <w:sz w:val="18"/>
              </w:rPr>
              <w:t>Bearish</w:t>
            </w:r>
          </w:p>
        </w:tc>
        <w:tc>
          <w:tcPr>
            <w:tcW w:type="dxa" w:w="7060"/>
            <w:vAlign w:val="center"/>
            <w:tcMar>
              <w:top w:w="90" w:type="dxa"/>
              <w:start w:w="120" w:type="dxa"/>
              <w:bottom w:w="90" w:type="dxa"/>
              <w:end w:w="120" w:type="dxa"/>
            </w:tcMar>
          </w:tcPr>
          <w:p>
            <w:pPr>
              <w:spacing w:after="0"/>
            </w:pPr>
            <w:r>
              <w:rPr>
                <w:color w:val="1E2936"/>
                <w:sz w:val="18"/>
              </w:rPr>
              <w:t>The pattern may move down.</w:t>
            </w:r>
          </w:p>
        </w:tc>
      </w:tr>
      <w:tr>
        <w:trPr>
          <w:cantSplit/>
        </w:trPr>
        <w:tc>
          <w:tcPr>
            <w:tcW w:type="dxa" w:w="2300"/>
            <w:vAlign w:val="center"/>
            <w:tcMar>
              <w:top w:w="90" w:type="dxa"/>
              <w:start w:w="120" w:type="dxa"/>
              <w:bottom w:w="90" w:type="dxa"/>
              <w:end w:w="120" w:type="dxa"/>
            </w:tcMar>
          </w:tcPr>
          <w:p>
            <w:pPr>
              <w:spacing w:after="0"/>
            </w:pPr>
            <w:r>
              <w:rPr>
                <w:color w:val="1E2936"/>
                <w:sz w:val="18"/>
              </w:rPr>
              <w:t>Forming</w:t>
            </w:r>
          </w:p>
        </w:tc>
        <w:tc>
          <w:tcPr>
            <w:tcW w:type="dxa" w:w="7060"/>
            <w:vAlign w:val="center"/>
            <w:tcMar>
              <w:top w:w="90" w:type="dxa"/>
              <w:start w:w="120" w:type="dxa"/>
              <w:bottom w:w="90" w:type="dxa"/>
              <w:end w:w="120" w:type="dxa"/>
            </w:tcMar>
          </w:tcPr>
          <w:p>
            <w:pPr>
              <w:spacing w:after="0"/>
            </w:pPr>
            <w:r>
              <w:rPr>
                <w:color w:val="1E2936"/>
                <w:sz w:val="18"/>
              </w:rPr>
              <w:t>The pattern is not ready. Wait and watch.</w:t>
            </w:r>
          </w:p>
        </w:tc>
      </w:tr>
      <w:tr>
        <w:trPr>
          <w:cantSplit/>
        </w:trPr>
        <w:tc>
          <w:tcPr>
            <w:tcW w:type="dxa" w:w="2300"/>
            <w:vAlign w:val="center"/>
            <w:tcMar>
              <w:top w:w="90" w:type="dxa"/>
              <w:start w:w="120" w:type="dxa"/>
              <w:bottom w:w="90" w:type="dxa"/>
              <w:end w:w="120" w:type="dxa"/>
            </w:tcMar>
          </w:tcPr>
          <w:p>
            <w:pPr>
              <w:spacing w:after="0"/>
            </w:pPr>
            <w:r>
              <w:rPr>
                <w:color w:val="1E2936"/>
                <w:sz w:val="18"/>
              </w:rPr>
              <w:t>EntryReady</w:t>
            </w:r>
          </w:p>
        </w:tc>
        <w:tc>
          <w:tcPr>
            <w:tcW w:type="dxa" w:w="7060"/>
            <w:vAlign w:val="center"/>
            <w:tcMar>
              <w:top w:w="90" w:type="dxa"/>
              <w:start w:w="120" w:type="dxa"/>
              <w:bottom w:w="90" w:type="dxa"/>
              <w:end w:w="120" w:type="dxa"/>
            </w:tcMar>
          </w:tcPr>
          <w:p>
            <w:pPr>
              <w:spacing w:after="0"/>
            </w:pPr>
            <w:r>
              <w:rPr>
                <w:color w:val="1E2936"/>
                <w:sz w:val="18"/>
              </w:rPr>
              <w:t>The pattern reached a possible entry stage. Check risk before trading.</w:t>
            </w:r>
          </w:p>
        </w:tc>
      </w:tr>
      <w:tr>
        <w:trPr>
          <w:cantSplit/>
        </w:trPr>
        <w:tc>
          <w:tcPr>
            <w:tcW w:type="dxa" w:w="2300"/>
            <w:vAlign w:val="center"/>
            <w:tcMar>
              <w:top w:w="90" w:type="dxa"/>
              <w:start w:w="120" w:type="dxa"/>
              <w:bottom w:w="90" w:type="dxa"/>
              <w:end w:w="120" w:type="dxa"/>
            </w:tcMar>
          </w:tcPr>
          <w:p>
            <w:pPr>
              <w:spacing w:after="0"/>
            </w:pPr>
            <w:r>
              <w:rPr>
                <w:color w:val="1E2936"/>
                <w:sz w:val="18"/>
              </w:rPr>
              <w:t>Completed</w:t>
            </w:r>
          </w:p>
        </w:tc>
        <w:tc>
          <w:tcPr>
            <w:tcW w:type="dxa" w:w="7060"/>
            <w:vAlign w:val="center"/>
            <w:tcMar>
              <w:top w:w="90" w:type="dxa"/>
              <w:start w:w="120" w:type="dxa"/>
              <w:bottom w:w="90" w:type="dxa"/>
              <w:end w:w="120" w:type="dxa"/>
            </w:tcMar>
          </w:tcPr>
          <w:p>
            <w:pPr>
              <w:spacing w:after="0"/>
            </w:pPr>
            <w:r>
              <w:rPr>
                <w:color w:val="1E2936"/>
                <w:sz w:val="18"/>
              </w:rPr>
              <w:t>The pattern finished. It may be too late for a new trade.</w:t>
            </w:r>
          </w:p>
        </w:tc>
      </w:tr>
      <w:tr>
        <w:trPr>
          <w:cantSplit/>
        </w:trPr>
        <w:tc>
          <w:tcPr>
            <w:tcW w:type="dxa" w:w="2300"/>
            <w:vAlign w:val="center"/>
            <w:tcMar>
              <w:top w:w="90" w:type="dxa"/>
              <w:start w:w="120" w:type="dxa"/>
              <w:bottom w:w="90" w:type="dxa"/>
              <w:end w:w="120" w:type="dxa"/>
            </w:tcMar>
          </w:tcPr>
          <w:p>
            <w:pPr>
              <w:spacing w:after="0"/>
            </w:pPr>
            <w:r>
              <w:rPr>
                <w:color w:val="1E2936"/>
                <w:sz w:val="18"/>
              </w:rPr>
              <w:t>Confidence Score</w:t>
            </w:r>
          </w:p>
        </w:tc>
        <w:tc>
          <w:tcPr>
            <w:tcW w:type="dxa" w:w="7060"/>
            <w:vAlign w:val="center"/>
            <w:tcMar>
              <w:top w:w="90" w:type="dxa"/>
              <w:start w:w="120" w:type="dxa"/>
              <w:bottom w:w="90" w:type="dxa"/>
              <w:end w:w="120" w:type="dxa"/>
            </w:tcMar>
          </w:tcPr>
          <w:p>
            <w:pPr>
              <w:spacing w:after="0"/>
            </w:pPr>
            <w:r>
              <w:rPr>
                <w:color w:val="1E2936"/>
                <w:sz w:val="18"/>
              </w:rPr>
              <w:t>A quality score from 0 to 100. It is not a profit chance.</w:t>
            </w:r>
          </w:p>
        </w:tc>
      </w:tr>
      <w:tr>
        <w:trPr>
          <w:cantSplit/>
        </w:trPr>
        <w:tc>
          <w:tcPr>
            <w:tcW w:type="dxa" w:w="2300"/>
            <w:vAlign w:val="center"/>
            <w:tcMar>
              <w:top w:w="90" w:type="dxa"/>
              <w:start w:w="120" w:type="dxa"/>
              <w:bottom w:w="90" w:type="dxa"/>
              <w:end w:w="120" w:type="dxa"/>
            </w:tcMar>
          </w:tcPr>
          <w:p>
            <w:pPr>
              <w:spacing w:after="0"/>
            </w:pPr>
            <w:r>
              <w:rPr>
                <w:color w:val="1E2936"/>
                <w:sz w:val="18"/>
              </w:rPr>
              <w:t>Invalidation / Stop</w:t>
            </w:r>
          </w:p>
        </w:tc>
        <w:tc>
          <w:tcPr>
            <w:tcW w:type="dxa" w:w="7060"/>
            <w:vAlign w:val="center"/>
            <w:tcMar>
              <w:top w:w="90" w:type="dxa"/>
              <w:start w:w="120" w:type="dxa"/>
              <w:bottom w:w="90" w:type="dxa"/>
              <w:end w:w="120" w:type="dxa"/>
            </w:tcMar>
          </w:tcPr>
          <w:p>
            <w:pPr>
              <w:spacing w:after="0"/>
            </w:pPr>
            <w:r>
              <w:rPr>
                <w:color w:val="1E2936"/>
                <w:sz w:val="18"/>
              </w:rPr>
              <w:t>The price that tells you the trade idea is wrong.</w:t>
            </w:r>
          </w:p>
        </w:tc>
      </w:tr>
      <w:tr>
        <w:trPr>
          <w:cantSplit/>
        </w:trPr>
        <w:tc>
          <w:tcPr>
            <w:tcW w:type="dxa" w:w="2300"/>
            <w:vAlign w:val="center"/>
            <w:tcMar>
              <w:top w:w="90" w:type="dxa"/>
              <w:start w:w="120" w:type="dxa"/>
              <w:bottom w:w="90" w:type="dxa"/>
              <w:end w:w="120" w:type="dxa"/>
            </w:tcMar>
          </w:tcPr>
          <w:p>
            <w:pPr>
              <w:spacing w:after="0"/>
            </w:pPr>
            <w:r>
              <w:rPr>
                <w:color w:val="1E2936"/>
                <w:sz w:val="18"/>
              </w:rPr>
              <w:t>Target zone</w:t>
            </w:r>
          </w:p>
        </w:tc>
        <w:tc>
          <w:tcPr>
            <w:tcW w:type="dxa" w:w="7060"/>
            <w:vAlign w:val="center"/>
            <w:tcMar>
              <w:top w:w="90" w:type="dxa"/>
              <w:start w:w="120" w:type="dxa"/>
              <w:bottom w:w="90" w:type="dxa"/>
              <w:end w:w="120" w:type="dxa"/>
            </w:tcMar>
          </w:tcPr>
          <w:p>
            <w:pPr>
              <w:spacing w:after="0"/>
            </w:pPr>
            <w:r>
              <w:rPr>
                <w:color w:val="1E2936"/>
                <w:sz w:val="18"/>
              </w:rPr>
              <w:t>A possible price area. It is not guaranteed.</w:t>
            </w:r>
          </w:p>
        </w:tc>
      </w:tr>
    </w:tbl>
    <w:p>
      <w:pPr>
        <w:spacing w:after="20"/>
      </w:pPr>
    </w:p>
    <w:p>
      <w:r>
        <w:br w:type="page"/>
      </w:r>
    </w:p>
    <w:p>
      <w:pPr>
        <w:pStyle w:val="Heading1"/>
      </w:pPr>
      <w:r>
        <w:t>How to read one trade idea</w:t>
      </w:r>
    </w:p>
    <w:p>
      <w:r>
        <w:t>Use this order every time. Do not start with the target.</w:t>
      </w:r>
    </w:p>
    <w:p>
      <w:pPr>
        <w:pStyle w:val="ListNumber"/>
      </w:pPr>
      <w:r>
        <w:rPr>
          <w:b/>
        </w:rPr>
        <w:t xml:space="preserve">Direction. </w:t>
      </w:r>
      <w:r>
        <w:t>Bullish means up. Bearish means down.</w:t>
      </w:r>
    </w:p>
    <w:p>
      <w:pPr>
        <w:pStyle w:val="ListNumber"/>
      </w:pPr>
      <w:r>
        <w:rPr>
          <w:b/>
        </w:rPr>
        <w:t xml:space="preserve">Stage. </w:t>
      </w:r>
      <w:r>
        <w:t>Prefer EntryReady. Forming is only for watching.</w:t>
      </w:r>
    </w:p>
    <w:p>
      <w:pPr>
        <w:pStyle w:val="ListNumber"/>
      </w:pPr>
      <w:r>
        <w:rPr>
          <w:b/>
        </w:rPr>
        <w:t xml:space="preserve">Lifecycle. </w:t>
      </w:r>
      <w:r>
        <w:t>Use only an Active idea. Do not use an Invalidated idea or an idea where the target was already hit.</w:t>
      </w:r>
    </w:p>
    <w:p>
      <w:pPr>
        <w:pStyle w:val="ListNumber"/>
      </w:pPr>
      <w:r>
        <w:rPr>
          <w:b/>
        </w:rPr>
        <w:t xml:space="preserve">Score. </w:t>
      </w:r>
      <w:r>
        <w:t>A higher score means more rules agree. It does not mean the trade will win.</w:t>
      </w:r>
    </w:p>
    <w:p>
      <w:pPr>
        <w:pStyle w:val="ListNumber"/>
      </w:pPr>
      <w:r>
        <w:rPr>
          <w:b/>
        </w:rPr>
        <w:t xml:space="preserve">Invalidation. </w:t>
      </w:r>
      <w:r>
        <w:t>Know where the idea becomes wrong before you enter.</w:t>
      </w:r>
    </w:p>
    <w:p>
      <w:pPr>
        <w:pStyle w:val="ListNumber"/>
      </w:pPr>
      <w:r>
        <w:rPr>
          <w:b/>
        </w:rPr>
        <w:t xml:space="preserve">Target. </w:t>
      </w:r>
      <w:r>
        <w:t>Check if the possible reward is worth the risk.</w:t>
      </w:r>
    </w:p>
    <w:p>
      <w:pPr>
        <w:pStyle w:val="ListNumber"/>
      </w:pPr>
      <w:r>
        <w:rPr>
          <w:b/>
        </w:rPr>
        <w:t xml:space="preserve">Your own checks. </w:t>
      </w:r>
      <w:r>
        <w:t>Check market news, trading cost, available money, and other open trades.</w:t>
      </w:r>
    </w:p>
    <w:p>
      <w:pPr>
        <w:pStyle w:val="Heading2"/>
      </w:pPr>
      <w:r>
        <w:t>What the chart marks mean</w:t>
      </w:r>
    </w:p>
    <w:tbl>
      <w:tblPr>
        <w:tblStyle w:val="TableGrid"/>
        <w:tblW w:type="auto" w:w="0"/>
        <w:jc w:val="left"/>
        <w:tblLayout w:type="fixed"/>
        <w:tblLook w:firstColumn="1" w:firstRow="1" w:lastColumn="0" w:lastRow="0" w:noHBand="0" w:noVBand="1" w:val="04A0"/>
      </w:tblPr>
      <w:tblGrid>
        <w:gridCol w:w="4939"/>
        <w:gridCol w:w="4939"/>
      </w:tblGrid>
      <w:tr>
        <w:trPr>
          <w:tblHeader w:val="true"/>
        </w:trPr>
        <w:tc>
          <w:tcPr>
            <w:tcW w:type="dxa" w:w="2450"/>
            <w:shd w:fill="E8EEF5"/>
            <w:vAlign w:val="center"/>
            <w:tcMar>
              <w:top w:w="90" w:type="dxa"/>
              <w:start w:w="120" w:type="dxa"/>
              <w:bottom w:w="90" w:type="dxa"/>
              <w:end w:w="120" w:type="dxa"/>
            </w:tcMar>
          </w:tcPr>
          <w:p>
            <w:r>
              <w:rPr>
                <w:b/>
                <w:color w:val="132238"/>
                <w:sz w:val="19"/>
              </w:rPr>
              <w:t>Mark</w:t>
            </w:r>
          </w:p>
        </w:tc>
        <w:tc>
          <w:tcPr>
            <w:tcW w:type="dxa" w:w="6910"/>
            <w:shd w:fill="E8EEF5"/>
            <w:vAlign w:val="center"/>
            <w:tcMar>
              <w:top w:w="90" w:type="dxa"/>
              <w:start w:w="120" w:type="dxa"/>
              <w:bottom w:w="90" w:type="dxa"/>
              <w:end w:w="120" w:type="dxa"/>
            </w:tcMar>
          </w:tcPr>
          <w:p>
            <w:r>
              <w:rPr>
                <w:b/>
                <w:color w:val="132238"/>
                <w:sz w:val="19"/>
              </w:rPr>
              <w:t>Meaning</w:t>
            </w:r>
          </w:p>
        </w:tc>
      </w:tr>
      <w:tr>
        <w:trPr>
          <w:cantSplit/>
        </w:trPr>
        <w:tc>
          <w:tcPr>
            <w:tcW w:type="dxa" w:w="2450"/>
            <w:vAlign w:val="center"/>
            <w:tcMar>
              <w:top w:w="90" w:type="dxa"/>
              <w:start w:w="120" w:type="dxa"/>
              <w:bottom w:w="90" w:type="dxa"/>
              <w:end w:w="120" w:type="dxa"/>
            </w:tcMar>
          </w:tcPr>
          <w:p>
            <w:pPr>
              <w:spacing w:after="0"/>
            </w:pPr>
            <w:r>
              <w:rPr>
                <w:color w:val="1E2936"/>
                <w:sz w:val="18"/>
              </w:rPr>
              <w:t>Green up arrow</w:t>
            </w:r>
          </w:p>
        </w:tc>
        <w:tc>
          <w:tcPr>
            <w:tcW w:type="dxa" w:w="6910"/>
            <w:vAlign w:val="center"/>
            <w:tcMar>
              <w:top w:w="90" w:type="dxa"/>
              <w:start w:w="120" w:type="dxa"/>
              <w:bottom w:w="90" w:type="dxa"/>
              <w:end w:w="120" w:type="dxa"/>
            </w:tcMar>
          </w:tcPr>
          <w:p>
            <w:pPr>
              <w:spacing w:after="0"/>
            </w:pPr>
            <w:r>
              <w:rPr>
                <w:color w:val="1E2936"/>
                <w:sz w:val="18"/>
              </w:rPr>
              <w:t>Possible bullish setup. Check all details before buying.</w:t>
            </w:r>
          </w:p>
        </w:tc>
      </w:tr>
      <w:tr>
        <w:trPr>
          <w:cantSplit/>
        </w:trPr>
        <w:tc>
          <w:tcPr>
            <w:tcW w:type="dxa" w:w="2450"/>
            <w:vAlign w:val="center"/>
            <w:tcMar>
              <w:top w:w="90" w:type="dxa"/>
              <w:start w:w="120" w:type="dxa"/>
              <w:bottom w:w="90" w:type="dxa"/>
              <w:end w:w="120" w:type="dxa"/>
            </w:tcMar>
          </w:tcPr>
          <w:p>
            <w:pPr>
              <w:spacing w:after="0"/>
            </w:pPr>
            <w:r>
              <w:rPr>
                <w:color w:val="1E2936"/>
                <w:sz w:val="18"/>
              </w:rPr>
              <w:t>Red down arrow</w:t>
            </w:r>
          </w:p>
        </w:tc>
        <w:tc>
          <w:tcPr>
            <w:tcW w:type="dxa" w:w="6910"/>
            <w:vAlign w:val="center"/>
            <w:tcMar>
              <w:top w:w="90" w:type="dxa"/>
              <w:start w:w="120" w:type="dxa"/>
              <w:bottom w:w="90" w:type="dxa"/>
              <w:end w:w="120" w:type="dxa"/>
            </w:tcMar>
          </w:tcPr>
          <w:p>
            <w:pPr>
              <w:spacing w:after="0"/>
            </w:pPr>
            <w:r>
              <w:rPr>
                <w:color w:val="1E2936"/>
                <w:sz w:val="18"/>
              </w:rPr>
              <w:t>Possible bearish setup. Check all details before selling.</w:t>
            </w:r>
          </w:p>
        </w:tc>
      </w:tr>
      <w:tr>
        <w:trPr>
          <w:cantSplit/>
        </w:trPr>
        <w:tc>
          <w:tcPr>
            <w:tcW w:type="dxa" w:w="2450"/>
            <w:vAlign w:val="center"/>
            <w:tcMar>
              <w:top w:w="90" w:type="dxa"/>
              <w:start w:w="120" w:type="dxa"/>
              <w:bottom w:w="90" w:type="dxa"/>
              <w:end w:w="120" w:type="dxa"/>
            </w:tcMar>
          </w:tcPr>
          <w:p>
            <w:pPr>
              <w:spacing w:after="0"/>
            </w:pPr>
            <w:r>
              <w:rPr>
                <w:color w:val="1E2936"/>
                <w:sz w:val="18"/>
              </w:rPr>
              <w:t>Red line</w:t>
            </w:r>
          </w:p>
        </w:tc>
        <w:tc>
          <w:tcPr>
            <w:tcW w:type="dxa" w:w="6910"/>
            <w:vAlign w:val="center"/>
            <w:tcMar>
              <w:top w:w="90" w:type="dxa"/>
              <w:start w:w="120" w:type="dxa"/>
              <w:bottom w:w="90" w:type="dxa"/>
              <w:end w:w="120" w:type="dxa"/>
            </w:tcMar>
          </w:tcPr>
          <w:p>
            <w:pPr>
              <w:spacing w:after="0"/>
            </w:pPr>
            <w:r>
              <w:rPr>
                <w:color w:val="1E2936"/>
                <w:sz w:val="18"/>
              </w:rPr>
              <w:t>Invalidation or stop reference.</w:t>
            </w:r>
          </w:p>
        </w:tc>
      </w:tr>
      <w:tr>
        <w:trPr>
          <w:cantSplit/>
        </w:trPr>
        <w:tc>
          <w:tcPr>
            <w:tcW w:type="dxa" w:w="2450"/>
            <w:vAlign w:val="center"/>
            <w:tcMar>
              <w:top w:w="90" w:type="dxa"/>
              <w:start w:w="120" w:type="dxa"/>
              <w:bottom w:w="90" w:type="dxa"/>
              <w:end w:w="120" w:type="dxa"/>
            </w:tcMar>
          </w:tcPr>
          <w:p>
            <w:pPr>
              <w:spacing w:after="0"/>
            </w:pPr>
            <w:r>
              <w:rPr>
                <w:color w:val="1E2936"/>
                <w:sz w:val="18"/>
              </w:rPr>
              <w:t>Green lines</w:t>
            </w:r>
          </w:p>
        </w:tc>
        <w:tc>
          <w:tcPr>
            <w:tcW w:type="dxa" w:w="6910"/>
            <w:vAlign w:val="center"/>
            <w:tcMar>
              <w:top w:w="90" w:type="dxa"/>
              <w:start w:w="120" w:type="dxa"/>
              <w:bottom w:w="90" w:type="dxa"/>
              <w:end w:w="120" w:type="dxa"/>
            </w:tcMar>
          </w:tcPr>
          <w:p>
            <w:pPr>
              <w:spacing w:after="0"/>
            </w:pPr>
            <w:r>
              <w:rPr>
                <w:color w:val="1E2936"/>
                <w:sz w:val="18"/>
              </w:rPr>
              <w:t>Possible target area.</w:t>
            </w:r>
          </w:p>
        </w:tc>
      </w:tr>
      <w:tr>
        <w:trPr>
          <w:cantSplit/>
        </w:trPr>
        <w:tc>
          <w:tcPr>
            <w:tcW w:type="dxa" w:w="2450"/>
            <w:vAlign w:val="center"/>
            <w:tcMar>
              <w:top w:w="90" w:type="dxa"/>
              <w:start w:w="120" w:type="dxa"/>
              <w:bottom w:w="90" w:type="dxa"/>
              <w:end w:w="120" w:type="dxa"/>
            </w:tcMar>
          </w:tcPr>
          <w:p>
            <w:pPr>
              <w:spacing w:after="0"/>
            </w:pPr>
            <w:r>
              <w:rPr>
                <w:color w:val="1E2936"/>
                <w:sz w:val="18"/>
              </w:rPr>
              <w:t>Dashed wave line</w:t>
            </w:r>
          </w:p>
        </w:tc>
        <w:tc>
          <w:tcPr>
            <w:tcW w:type="dxa" w:w="6910"/>
            <w:vAlign w:val="center"/>
            <w:tcMar>
              <w:top w:w="90" w:type="dxa"/>
              <w:start w:w="120" w:type="dxa"/>
              <w:bottom w:w="90" w:type="dxa"/>
              <w:end w:w="120" w:type="dxa"/>
            </w:tcMar>
          </w:tcPr>
          <w:p>
            <w:pPr>
              <w:spacing w:after="0"/>
            </w:pPr>
            <w:r>
              <w:rPr>
                <w:color w:val="1E2936"/>
                <w:sz w:val="18"/>
              </w:rPr>
              <w:t>The pattern is still forming.</w:t>
            </w:r>
          </w:p>
        </w:tc>
      </w:tr>
      <w:tr>
        <w:trPr>
          <w:cantSplit/>
        </w:trPr>
        <w:tc>
          <w:tcPr>
            <w:tcW w:type="dxa" w:w="2450"/>
            <w:vAlign w:val="center"/>
            <w:tcMar>
              <w:top w:w="90" w:type="dxa"/>
              <w:start w:w="120" w:type="dxa"/>
              <w:bottom w:w="90" w:type="dxa"/>
              <w:end w:w="120" w:type="dxa"/>
            </w:tcMar>
          </w:tcPr>
          <w:p>
            <w:pPr>
              <w:spacing w:after="0"/>
            </w:pPr>
            <w:r>
              <w:rPr>
                <w:color w:val="1E2936"/>
                <w:sz w:val="18"/>
              </w:rPr>
              <w:t>Solid wave line</w:t>
            </w:r>
          </w:p>
        </w:tc>
        <w:tc>
          <w:tcPr>
            <w:tcW w:type="dxa" w:w="6910"/>
            <w:vAlign w:val="center"/>
            <w:tcMar>
              <w:top w:w="90" w:type="dxa"/>
              <w:start w:w="120" w:type="dxa"/>
              <w:bottom w:w="90" w:type="dxa"/>
              <w:end w:w="120" w:type="dxa"/>
            </w:tcMar>
          </w:tcPr>
          <w:p>
            <w:pPr>
              <w:spacing w:after="0"/>
            </w:pPr>
            <w:r>
              <w:rPr>
                <w:color w:val="1E2936"/>
                <w:sz w:val="18"/>
              </w:rPr>
              <w:t>The pattern is complete.</w:t>
            </w:r>
          </w:p>
        </w:tc>
      </w:tr>
    </w:tbl>
    <w:p>
      <w:pPr>
        <w:spacing w:after="20"/>
      </w:pPr>
    </w:p>
    <w:tbl>
      <w:tblPr>
        <w:tblW w:type="auto" w:w="0"/>
        <w:jc w:val="left"/>
        <w:tblLayout w:type="fixed"/>
        <w:tblLook w:firstColumn="1" w:firstRow="1" w:lastColumn="0" w:lastRow="0" w:noHBand="0" w:noVBand="1" w:val="04A0"/>
      </w:tblPr>
      <w:tblGrid>
        <w:gridCol w:w="9878"/>
      </w:tblGrid>
      <w:tr>
        <w:tc>
          <w:tcPr>
            <w:tcW w:type="dxa" w:w="9360"/>
            <w:shd w:fill="F4F6F9"/>
            <w:tcMar>
              <w:top w:w="120" w:type="dxa"/>
              <w:start w:w="160" w:type="dxa"/>
              <w:bottom w:w="120" w:type="dxa"/>
              <w:end w:w="160" w:type="dxa"/>
            </w:tcMar>
          </w:tcPr>
          <w:p>
            <w:pPr>
              <w:spacing w:after="0"/>
            </w:pPr>
            <w:r>
              <w:rPr>
                <w:b/>
                <w:color w:val="1976A3"/>
              </w:rPr>
              <w:t xml:space="preserve">No arrow: </w:t>
            </w:r>
            <w:r>
              <w:rPr>
                <w:color w:val="1E2936"/>
              </w:rPr>
              <w:t>No arrow is not a software error. The score may be too low, the pattern may not be ready, or the selected path may be hidden.</w:t>
            </w:r>
          </w:p>
        </w:tc>
      </w:tr>
    </w:tbl>
    <w:p>
      <w:pPr>
        <w:spacing w:after="20"/>
      </w:pPr>
    </w:p>
    <w:p>
      <w:r>
        <w:br w:type="page"/>
      </w:r>
    </w:p>
    <w:p>
      <w:pPr>
        <w:pStyle w:val="Heading1"/>
      </w:pPr>
      <w:r>
        <w:t>Detailed guide</w:t>
      </w:r>
    </w:p>
    <w:p>
      <w:r>
        <w:t>The next pages give more detail. New users can read them slowly. You do not need to understand every technical word on the first day.</w:t>
      </w:r>
    </w:p>
    <w:p>
      <w:pPr>
        <w:pStyle w:val="Heading2"/>
      </w:pPr>
      <w:r>
        <w:t>Purpose and safety boundary</w:t>
      </w:r>
    </w:p>
    <w:p>
      <w:r>
        <w:t>The tool reads five-minute price data. It builds larger timeframes, finds possible Elliott Wave patterns, and ranks them. It also shows an invalidation price and a target area. The tool helps you study a chart. It cannot predict the market with certainty.</w:t>
      </w:r>
    </w:p>
    <w:tbl>
      <w:tblPr>
        <w:tblW w:type="auto" w:w="0"/>
        <w:jc w:val="left"/>
        <w:tblLayout w:type="fixed"/>
        <w:tblLook w:firstColumn="1" w:firstRow="1" w:lastColumn="0" w:lastRow="0" w:noHBand="0" w:noVBand="1" w:val="04A0"/>
      </w:tblPr>
      <w:tblGrid>
        <w:gridCol w:w="9878"/>
      </w:tblGrid>
      <w:tr>
        <w:tc>
          <w:tcPr>
            <w:tcW w:type="dxa" w:w="9360"/>
            <w:shd w:fill="F4F6F9"/>
            <w:tcMar>
              <w:top w:w="120" w:type="dxa"/>
              <w:start w:w="160" w:type="dxa"/>
              <w:bottom w:w="120" w:type="dxa"/>
              <w:end w:w="160" w:type="dxa"/>
            </w:tcMar>
          </w:tcPr>
          <w:p>
            <w:pPr>
              <w:spacing w:after="0"/>
            </w:pPr>
            <w:r>
              <w:rPr>
                <w:b/>
                <w:color w:val="C43D4B"/>
              </w:rPr>
              <w:t xml:space="preserve">Critical: </w:t>
            </w:r>
            <w:r>
              <w:rPr>
                <w:color w:val="1E2936"/>
              </w:rPr>
              <w:t>A Confidence Score is a deterministic guideline score, not a probability of profit. Never read 90/100 as a 90% win rate.</w:t>
            </w:r>
          </w:p>
        </w:tc>
      </w:tr>
    </w:tbl>
    <w:p>
      <w:pPr>
        <w:spacing w:after="20"/>
      </w:pPr>
    </w:p>
    <w:p>
      <w:pPr>
        <w:pStyle w:val="Heading2"/>
      </w:pPr>
      <w:r>
        <w:t>What the system does</w:t>
      </w:r>
    </w:p>
    <w:p>
      <w:pPr>
        <w:pStyle w:val="ListBullet"/>
      </w:pPr>
      <w:r>
        <w:t>Builds all chart timeframes dynamically from raw M5 candles.</w:t>
      </w:r>
    </w:p>
    <w:p>
      <w:pPr>
        <w:pStyle w:val="ListBullet"/>
      </w:pPr>
      <w:r>
        <w:t>Extracts pivots with a rolling ATR threshold instead of a fixed percentage.</w:t>
      </w:r>
    </w:p>
    <w:p>
      <w:pPr>
        <w:pStyle w:val="ListBullet"/>
      </w:pPr>
      <w:r>
        <w:t>Prunes candidates immediately when an absolute Elliott rule fails.</w:t>
      </w:r>
    </w:p>
    <w:p>
      <w:pPr>
        <w:pStyle w:val="ListBullet"/>
      </w:pPr>
      <w:r>
        <w:t>Tracks alternate candidate paths, structure stage, lifecycle, invalidation, and targets.</w:t>
      </w:r>
    </w:p>
    <w:p>
      <w:pPr>
        <w:pStyle w:val="ListBullet"/>
      </w:pPr>
      <w:r>
        <w:t>Scores Fibonacci fit, momentum, alternation, channeling, and pattern-specific geometry.</w:t>
      </w:r>
    </w:p>
    <w:p>
      <w:pPr>
        <w:pStyle w:val="ListBullet"/>
      </w:pPr>
      <w:r>
        <w:t>Scans every installed market and registered timeframe for active opportunities.</w:t>
      </w:r>
    </w:p>
    <w:p>
      <w:pPr>
        <w:pStyle w:val="Heading2"/>
      </w:pPr>
      <w:r>
        <w:t>What it deliberately does not do</w:t>
      </w:r>
    </w:p>
    <w:p>
      <w:pPr>
        <w:pStyle w:val="ListBullet"/>
      </w:pPr>
      <w:r>
        <w:t>It does not place orders or connect to a broker in the current build.</w:t>
      </w:r>
    </w:p>
    <w:p>
      <w:pPr>
        <w:pStyle w:val="ListBullet"/>
      </w:pPr>
      <w:r>
        <w:t>It does not use machine learning, visual guessing, or subjective hand-drawn counts.</w:t>
      </w:r>
    </w:p>
    <w:p>
      <w:pPr>
        <w:pStyle w:val="ListBullet"/>
      </w:pPr>
      <w:r>
        <w:t>It does not guarantee data completeness when a temporary provider omits candles.</w:t>
      </w:r>
    </w:p>
    <w:p>
      <w:pPr>
        <w:pStyle w:val="ListBullet"/>
      </w:pPr>
      <w:r>
        <w:t>It does not remove the need to check liquidity, spread, news, and portfolio exposure.</w:t>
      </w:r>
    </w:p>
    <w:p>
      <w:pPr>
        <w:pStyle w:val="Heading2"/>
      </w:pPr>
      <w:r>
        <w:t>Guide map</w:t>
      </w:r>
    </w:p>
    <w:tbl>
      <w:tblPr>
        <w:tblStyle w:val="TableGrid"/>
        <w:tblW w:type="auto" w:w="0"/>
        <w:jc w:val="left"/>
        <w:tblLayout w:type="fixed"/>
        <w:tblLook w:firstColumn="1" w:firstRow="1" w:lastColumn="0" w:lastRow="0" w:noHBand="0" w:noVBand="1" w:val="04A0"/>
      </w:tblPr>
      <w:tblGrid>
        <w:gridCol w:w="4939"/>
        <w:gridCol w:w="4939"/>
      </w:tblGrid>
      <w:tr>
        <w:trPr>
          <w:tblHeader w:val="true"/>
        </w:trPr>
        <w:tc>
          <w:tcPr>
            <w:tcW w:type="dxa" w:w="2200"/>
            <w:shd w:fill="E8EEF5"/>
            <w:vAlign w:val="center"/>
            <w:tcMar>
              <w:top w:w="90" w:type="dxa"/>
              <w:start w:w="120" w:type="dxa"/>
              <w:bottom w:w="90" w:type="dxa"/>
              <w:end w:w="120" w:type="dxa"/>
            </w:tcMar>
          </w:tcPr>
          <w:p>
            <w:r>
              <w:rPr>
                <w:b/>
                <w:color w:val="132238"/>
                <w:sz w:val="19"/>
              </w:rPr>
              <w:t>Section</w:t>
            </w:r>
          </w:p>
        </w:tc>
        <w:tc>
          <w:tcPr>
            <w:tcW w:type="dxa" w:w="7160"/>
            <w:shd w:fill="E8EEF5"/>
            <w:vAlign w:val="center"/>
            <w:tcMar>
              <w:top w:w="90" w:type="dxa"/>
              <w:start w:w="120" w:type="dxa"/>
              <w:bottom w:w="90" w:type="dxa"/>
              <w:end w:w="120" w:type="dxa"/>
            </w:tcMar>
          </w:tcPr>
          <w:p>
            <w:r>
              <w:rPr>
                <w:b/>
                <w:color w:val="132238"/>
                <w:sz w:val="19"/>
              </w:rPr>
              <w:t>Use it when you need to...</w:t>
            </w:r>
          </w:p>
        </w:tc>
      </w:tr>
      <w:tr>
        <w:trPr>
          <w:cantSplit/>
        </w:trPr>
        <w:tc>
          <w:tcPr>
            <w:tcW w:type="dxa" w:w="2200"/>
            <w:vAlign w:val="center"/>
            <w:tcMar>
              <w:top w:w="90" w:type="dxa"/>
              <w:start w:w="120" w:type="dxa"/>
              <w:bottom w:w="90" w:type="dxa"/>
              <w:end w:w="120" w:type="dxa"/>
            </w:tcMar>
          </w:tcPr>
          <w:p>
            <w:pPr>
              <w:spacing w:after="0"/>
            </w:pPr>
            <w:r>
              <w:rPr>
                <w:color w:val="1E2936"/>
                <w:sz w:val="18"/>
              </w:rPr>
              <w:t>Quick start</w:t>
            </w:r>
          </w:p>
        </w:tc>
        <w:tc>
          <w:tcPr>
            <w:tcW w:type="dxa" w:w="7160"/>
            <w:vAlign w:val="center"/>
            <w:tcMar>
              <w:top w:w="90" w:type="dxa"/>
              <w:start w:w="120" w:type="dxa"/>
              <w:bottom w:w="90" w:type="dxa"/>
              <w:end w:w="120" w:type="dxa"/>
            </w:tcMar>
          </w:tcPr>
          <w:p>
            <w:pPr>
              <w:spacing w:after="0"/>
            </w:pPr>
            <w:r>
              <w:rPr>
                <w:color w:val="1E2936"/>
                <w:sz w:val="18"/>
              </w:rPr>
              <w:t>Reach a defensible chart interpretation in a few minutes.</w:t>
            </w:r>
          </w:p>
        </w:tc>
      </w:tr>
      <w:tr>
        <w:trPr>
          <w:cantSplit/>
        </w:trPr>
        <w:tc>
          <w:tcPr>
            <w:tcW w:type="dxa" w:w="2200"/>
            <w:vAlign w:val="center"/>
            <w:tcMar>
              <w:top w:w="90" w:type="dxa"/>
              <w:start w:w="120" w:type="dxa"/>
              <w:bottom w:w="90" w:type="dxa"/>
              <w:end w:w="120" w:type="dxa"/>
            </w:tcMar>
          </w:tcPr>
          <w:p>
            <w:pPr>
              <w:spacing w:after="0"/>
            </w:pPr>
            <w:r>
              <w:rPr>
                <w:color w:val="1E2936"/>
                <w:sz w:val="18"/>
              </w:rPr>
              <w:t>Terminal controls</w:t>
            </w:r>
          </w:p>
        </w:tc>
        <w:tc>
          <w:tcPr>
            <w:tcW w:type="dxa" w:w="7160"/>
            <w:vAlign w:val="center"/>
            <w:tcMar>
              <w:top w:w="90" w:type="dxa"/>
              <w:start w:w="120" w:type="dxa"/>
              <w:bottom w:w="90" w:type="dxa"/>
              <w:end w:w="120" w:type="dxa"/>
            </w:tcMar>
          </w:tcPr>
          <w:p>
            <w:pPr>
              <w:spacing w:after="0"/>
            </w:pPr>
            <w:r>
              <w:rPr>
                <w:color w:val="1E2936"/>
                <w:sz w:val="18"/>
              </w:rPr>
              <w:t>Understand every selector and slider.</w:t>
            </w:r>
          </w:p>
        </w:tc>
      </w:tr>
      <w:tr>
        <w:trPr>
          <w:cantSplit/>
        </w:trPr>
        <w:tc>
          <w:tcPr>
            <w:tcW w:type="dxa" w:w="2200"/>
            <w:vAlign w:val="center"/>
            <w:tcMar>
              <w:top w:w="90" w:type="dxa"/>
              <w:start w:w="120" w:type="dxa"/>
              <w:bottom w:w="90" w:type="dxa"/>
              <w:end w:w="120" w:type="dxa"/>
            </w:tcMar>
          </w:tcPr>
          <w:p>
            <w:pPr>
              <w:spacing w:after="0"/>
            </w:pPr>
            <w:r>
              <w:rPr>
                <w:color w:val="1E2936"/>
                <w:sz w:val="18"/>
              </w:rPr>
              <w:t>Structures and stages</w:t>
            </w:r>
          </w:p>
        </w:tc>
        <w:tc>
          <w:tcPr>
            <w:tcW w:type="dxa" w:w="7160"/>
            <w:vAlign w:val="center"/>
            <w:tcMar>
              <w:top w:w="90" w:type="dxa"/>
              <w:start w:w="120" w:type="dxa"/>
              <w:bottom w:w="90" w:type="dxa"/>
              <w:end w:w="120" w:type="dxa"/>
            </w:tcMar>
          </w:tcPr>
          <w:p>
            <w:pPr>
              <w:spacing w:after="0"/>
            </w:pPr>
            <w:r>
              <w:rPr>
                <w:color w:val="1E2936"/>
                <w:sz w:val="18"/>
              </w:rPr>
              <w:t>Interpret Impulse, ZigZag, Flat, Triangle, Forming, and EntryReady.</w:t>
            </w:r>
          </w:p>
        </w:tc>
      </w:tr>
      <w:tr>
        <w:trPr>
          <w:cantSplit/>
        </w:trPr>
        <w:tc>
          <w:tcPr>
            <w:tcW w:type="dxa" w:w="2200"/>
            <w:vAlign w:val="center"/>
            <w:tcMar>
              <w:top w:w="90" w:type="dxa"/>
              <w:start w:w="120" w:type="dxa"/>
              <w:bottom w:w="90" w:type="dxa"/>
              <w:end w:w="120" w:type="dxa"/>
            </w:tcMar>
          </w:tcPr>
          <w:p>
            <w:pPr>
              <w:spacing w:after="0"/>
            </w:pPr>
            <w:r>
              <w:rPr>
                <w:color w:val="1E2936"/>
                <w:sz w:val="18"/>
              </w:rPr>
              <w:t>Chart and inspector</w:t>
            </w:r>
          </w:p>
        </w:tc>
        <w:tc>
          <w:tcPr>
            <w:tcW w:type="dxa" w:w="7160"/>
            <w:vAlign w:val="center"/>
            <w:tcMar>
              <w:top w:w="90" w:type="dxa"/>
              <w:start w:w="120" w:type="dxa"/>
              <w:bottom w:w="90" w:type="dxa"/>
              <w:end w:w="120" w:type="dxa"/>
            </w:tcMar>
          </w:tcPr>
          <w:p>
            <w:pPr>
              <w:spacing w:after="0"/>
            </w:pPr>
            <w:r>
              <w:rPr>
                <w:color w:val="1E2936"/>
                <w:sz w:val="18"/>
              </w:rPr>
              <w:t>Read overlays, RSI, score audit, invalidation, target, and hints.</w:t>
            </w:r>
          </w:p>
        </w:tc>
      </w:tr>
      <w:tr>
        <w:trPr>
          <w:cantSplit/>
        </w:trPr>
        <w:tc>
          <w:tcPr>
            <w:tcW w:type="dxa" w:w="2200"/>
            <w:vAlign w:val="center"/>
            <w:tcMar>
              <w:top w:w="90" w:type="dxa"/>
              <w:start w:w="120" w:type="dxa"/>
              <w:bottom w:w="90" w:type="dxa"/>
              <w:end w:w="120" w:type="dxa"/>
            </w:tcMar>
          </w:tcPr>
          <w:p>
            <w:pPr>
              <w:spacing w:after="0"/>
            </w:pPr>
            <w:r>
              <w:rPr>
                <w:color w:val="1E2936"/>
                <w:sz w:val="18"/>
              </w:rPr>
              <w:t>Global scanner</w:t>
            </w:r>
          </w:p>
        </w:tc>
        <w:tc>
          <w:tcPr>
            <w:tcW w:type="dxa" w:w="7160"/>
            <w:vAlign w:val="center"/>
            <w:tcMar>
              <w:top w:w="90" w:type="dxa"/>
              <w:start w:w="120" w:type="dxa"/>
              <w:bottom w:w="90" w:type="dxa"/>
              <w:end w:w="120" w:type="dxa"/>
            </w:tcMar>
          </w:tcPr>
          <w:p>
            <w:pPr>
              <w:spacing w:after="0"/>
            </w:pPr>
            <w:r>
              <w:rPr>
                <w:color w:val="1E2936"/>
                <w:sz w:val="18"/>
              </w:rPr>
              <w:t>Rank active setups across all markets and timeframes.</w:t>
            </w:r>
          </w:p>
        </w:tc>
      </w:tr>
      <w:tr>
        <w:trPr>
          <w:cantSplit/>
        </w:trPr>
        <w:tc>
          <w:tcPr>
            <w:tcW w:type="dxa" w:w="2200"/>
            <w:vAlign w:val="center"/>
            <w:tcMar>
              <w:top w:w="90" w:type="dxa"/>
              <w:start w:w="120" w:type="dxa"/>
              <w:bottom w:w="90" w:type="dxa"/>
              <w:end w:w="120" w:type="dxa"/>
            </w:tcMar>
          </w:tcPr>
          <w:p>
            <w:pPr>
              <w:spacing w:after="0"/>
            </w:pPr>
            <w:r>
              <w:rPr>
                <w:color w:val="1E2936"/>
                <w:sz w:val="18"/>
              </w:rPr>
              <w:t>Operating checklist</w:t>
            </w:r>
          </w:p>
        </w:tc>
        <w:tc>
          <w:tcPr>
            <w:tcW w:type="dxa" w:w="7160"/>
            <w:vAlign w:val="center"/>
            <w:tcMar>
              <w:top w:w="90" w:type="dxa"/>
              <w:start w:w="120" w:type="dxa"/>
              <w:bottom w:w="90" w:type="dxa"/>
              <w:end w:w="120" w:type="dxa"/>
            </w:tcMar>
          </w:tcPr>
          <w:p>
            <w:pPr>
              <w:spacing w:after="0"/>
            </w:pPr>
            <w:r>
              <w:rPr>
                <w:color w:val="1E2936"/>
                <w:sz w:val="18"/>
              </w:rPr>
              <w:t>Apply consistent pre-trade and post-trade discipline.</w:t>
            </w:r>
          </w:p>
        </w:tc>
      </w:tr>
      <w:tr>
        <w:trPr>
          <w:cantSplit/>
        </w:trPr>
        <w:tc>
          <w:tcPr>
            <w:tcW w:type="dxa" w:w="2200"/>
            <w:vAlign w:val="center"/>
            <w:tcMar>
              <w:top w:w="90" w:type="dxa"/>
              <w:start w:w="120" w:type="dxa"/>
              <w:bottom w:w="90" w:type="dxa"/>
              <w:end w:w="120" w:type="dxa"/>
            </w:tcMar>
          </w:tcPr>
          <w:p>
            <w:pPr>
              <w:spacing w:after="0"/>
            </w:pPr>
            <w:r>
              <w:rPr>
                <w:color w:val="1E2936"/>
                <w:sz w:val="18"/>
              </w:rPr>
              <w:t>Troubleshooting</w:t>
            </w:r>
          </w:p>
        </w:tc>
        <w:tc>
          <w:tcPr>
            <w:tcW w:type="dxa" w:w="7160"/>
            <w:vAlign w:val="center"/>
            <w:tcMar>
              <w:top w:w="90" w:type="dxa"/>
              <w:start w:w="120" w:type="dxa"/>
              <w:bottom w:w="90" w:type="dxa"/>
              <w:end w:w="120" w:type="dxa"/>
            </w:tcMar>
          </w:tcPr>
          <w:p>
            <w:pPr>
              <w:spacing w:after="0"/>
            </w:pPr>
            <w:r>
              <w:rPr>
                <w:color w:val="1E2936"/>
                <w:sz w:val="18"/>
              </w:rPr>
              <w:t>Resolve empty charts, missing arrows, or incomplete macro bars.</w:t>
            </w:r>
          </w:p>
        </w:tc>
      </w:tr>
    </w:tbl>
    <w:p>
      <w:pPr>
        <w:spacing w:after="20"/>
      </w:pPr>
    </w:p>
    <w:p>
      <w:r>
        <w:br w:type="page"/>
      </w:r>
    </w:p>
    <w:p>
      <w:pPr>
        <w:pStyle w:val="Heading1"/>
      </w:pPr>
      <w:r>
        <w:t>Quick start: a disciplined five-minute workflow</w:t>
      </w:r>
    </w:p>
    <w:p>
      <w:pPr>
        <w:pStyle w:val="ListNumber"/>
      </w:pPr>
      <w:r>
        <w:rPr>
          <w:b/>
        </w:rPr>
        <w:t xml:space="preserve">Select the market. </w:t>
      </w:r>
      <w:r>
        <w:t>Choose the asset database in the Market list. Confirm DATA THROUGH is current enough for your decision.</w:t>
      </w:r>
    </w:p>
    <w:p>
      <w:pPr>
        <w:pStyle w:val="ListNumber"/>
      </w:pPr>
      <w:r>
        <w:rPr>
          <w:b/>
        </w:rPr>
        <w:t xml:space="preserve">Select the timeframe. </w:t>
      </w:r>
      <w:r>
        <w:t>Start with 4H or 1D for context, then inspect 1H or 30M for timing. Do not mix labels from separate timeframes as if they were one count.</w:t>
      </w:r>
    </w:p>
    <w:p>
      <w:pPr>
        <w:pStyle w:val="ListNumber"/>
      </w:pPr>
      <w:r>
        <w:rPr>
          <w:b/>
        </w:rPr>
        <w:t xml:space="preserve">Keep default pivot settings initially. </w:t>
      </w:r>
      <w:r>
        <w:t>Use ATR Multiplier 2.0 and ATR Period 14 until you have completed formal sensitivity testing for the asset.</w:t>
      </w:r>
    </w:p>
    <w:p>
      <w:pPr>
        <w:pStyle w:val="ListNumber"/>
      </w:pPr>
      <w:r>
        <w:rPr>
          <w:b/>
        </w:rPr>
        <w:t xml:space="preserve">Choose Balanced and Actionable. </w:t>
      </w:r>
      <w:r>
        <w:t>Balanced shows both motive and corrective structures; Actionable removes historical structures that no longer matter.</w:t>
      </w:r>
    </w:p>
    <w:p>
      <w:pPr>
        <w:pStyle w:val="ListNumber"/>
      </w:pPr>
      <w:r>
        <w:rPr>
          <w:b/>
        </w:rPr>
        <w:t xml:space="preserve">Inspect the focused path. </w:t>
      </w:r>
      <w:r>
        <w:t>Read Stage, Lifecycle, Confidence Score, invalidation, target zone, and System Hints before looking at the decorative shape.</w:t>
      </w:r>
    </w:p>
    <w:p>
      <w:pPr>
        <w:pStyle w:val="ListNumber"/>
      </w:pPr>
      <w:r>
        <w:rPr>
          <w:b/>
        </w:rPr>
        <w:t xml:space="preserve">Open Score audit. </w:t>
      </w:r>
      <w:r>
        <w:t>Confirm where the points came from. A high total built from weak or irrelevant evidence should be challenged.</w:t>
      </w:r>
    </w:p>
    <w:p>
      <w:pPr>
        <w:pStyle w:val="ListNumber"/>
      </w:pPr>
      <w:r>
        <w:rPr>
          <w:b/>
        </w:rPr>
        <w:t xml:space="preserve">Check the confidence gate. </w:t>
      </w:r>
      <w:r>
        <w:t>An arrow is shown only when the path is enabled, tradeable, and at or above the selected alert threshold.</w:t>
      </w:r>
    </w:p>
    <w:p>
      <w:pPr>
        <w:pStyle w:val="ListNumber"/>
      </w:pPr>
      <w:r>
        <w:rPr>
          <w:b/>
        </w:rPr>
        <w:t xml:space="preserve">Apply independent risk controls. </w:t>
      </w:r>
      <w:r>
        <w:t>Check reward-to-risk after friction, size the trade, and identify event risk before acting.</w:t>
      </w:r>
    </w:p>
    <w:tbl>
      <w:tblPr>
        <w:tblW w:type="auto" w:w="0"/>
        <w:jc w:val="left"/>
        <w:tblLayout w:type="fixed"/>
        <w:tblLook w:firstColumn="1" w:firstRow="1" w:lastColumn="0" w:lastRow="0" w:noHBand="0" w:noVBand="1" w:val="04A0"/>
      </w:tblPr>
      <w:tblGrid>
        <w:gridCol w:w="9878"/>
      </w:tblGrid>
      <w:tr>
        <w:tc>
          <w:tcPr>
            <w:tcW w:type="dxa" w:w="9360"/>
            <w:shd w:fill="F4F6F9"/>
            <w:tcMar>
              <w:top w:w="120" w:type="dxa"/>
              <w:start w:w="160" w:type="dxa"/>
              <w:bottom w:w="120" w:type="dxa"/>
              <w:end w:w="160" w:type="dxa"/>
            </w:tcMar>
          </w:tcPr>
          <w:p>
            <w:pPr>
              <w:spacing w:after="0"/>
            </w:pPr>
            <w:r>
              <w:rPr>
                <w:b/>
                <w:color w:val="168A62"/>
              </w:rPr>
              <w:t xml:space="preserve">Recommended sequence: </w:t>
            </w:r>
            <w:r>
              <w:rPr>
                <w:color w:val="1E2936"/>
              </w:rPr>
              <w:t>Context timeframe -&gt; execution timeframe -&gt; structure validity -&gt; confidence evidence -&gt; invalidation -&gt; target -&gt; friction-adjusted risk/reward -&gt; position size.</w:t>
            </w:r>
          </w:p>
        </w:tc>
      </w:tr>
    </w:tbl>
    <w:p>
      <w:pPr>
        <w:spacing w:after="20"/>
      </w:pPr>
    </w:p>
    <w:p>
      <w:pPr>
        <w:pStyle w:val="Heading2"/>
      </w:pPr>
      <w:r>
        <w:t>Traffic-light interpretation</w:t>
      </w:r>
    </w:p>
    <w:tbl>
      <w:tblPr>
        <w:tblStyle w:val="TableGrid"/>
        <w:tblW w:type="auto" w:w="0"/>
        <w:jc w:val="left"/>
        <w:tblLayout w:type="fixed"/>
        <w:tblLook w:firstColumn="1" w:firstRow="1" w:lastColumn="0" w:lastRow="0" w:noHBand="0" w:noVBand="1" w:val="04A0"/>
      </w:tblPr>
      <w:tblGrid>
        <w:gridCol w:w="3293"/>
        <w:gridCol w:w="3293"/>
        <w:gridCol w:w="3293"/>
      </w:tblGrid>
      <w:tr>
        <w:trPr>
          <w:tblHeader w:val="true"/>
        </w:trPr>
        <w:tc>
          <w:tcPr>
            <w:tcW w:type="dxa" w:w="1850"/>
            <w:shd w:fill="E8EEF5"/>
            <w:vAlign w:val="center"/>
            <w:tcMar>
              <w:top w:w="90" w:type="dxa"/>
              <w:start w:w="120" w:type="dxa"/>
              <w:bottom w:w="90" w:type="dxa"/>
              <w:end w:w="120" w:type="dxa"/>
            </w:tcMar>
          </w:tcPr>
          <w:p>
            <w:r>
              <w:rPr>
                <w:b/>
                <w:color w:val="132238"/>
                <w:sz w:val="19"/>
              </w:rPr>
              <w:t>Terminal state</w:t>
            </w:r>
          </w:p>
        </w:tc>
        <w:tc>
          <w:tcPr>
            <w:tcW w:type="dxa" w:w="3300"/>
            <w:shd w:fill="E8EEF5"/>
            <w:vAlign w:val="center"/>
            <w:tcMar>
              <w:top w:w="90" w:type="dxa"/>
              <w:start w:w="120" w:type="dxa"/>
              <w:bottom w:w="90" w:type="dxa"/>
              <w:end w:w="120" w:type="dxa"/>
            </w:tcMar>
          </w:tcPr>
          <w:p>
            <w:r>
              <w:rPr>
                <w:b/>
                <w:color w:val="132238"/>
                <w:sz w:val="19"/>
              </w:rPr>
              <w:t>Meaning</w:t>
            </w:r>
          </w:p>
        </w:tc>
        <w:tc>
          <w:tcPr>
            <w:tcW w:type="dxa" w:w="4210"/>
            <w:shd w:fill="E8EEF5"/>
            <w:vAlign w:val="center"/>
            <w:tcMar>
              <w:top w:w="90" w:type="dxa"/>
              <w:start w:w="120" w:type="dxa"/>
              <w:bottom w:w="90" w:type="dxa"/>
              <w:end w:w="120" w:type="dxa"/>
            </w:tcMar>
          </w:tcPr>
          <w:p>
            <w:r>
              <w:rPr>
                <w:b/>
                <w:color w:val="132238"/>
                <w:sz w:val="19"/>
              </w:rPr>
              <w:t>Operator response</w:t>
            </w:r>
          </w:p>
        </w:tc>
      </w:tr>
      <w:tr>
        <w:trPr>
          <w:cantSplit/>
        </w:trPr>
        <w:tc>
          <w:tcPr>
            <w:tcW w:type="dxa" w:w="1850"/>
            <w:vAlign w:val="center"/>
            <w:tcMar>
              <w:top w:w="90" w:type="dxa"/>
              <w:start w:w="120" w:type="dxa"/>
              <w:bottom w:w="90" w:type="dxa"/>
              <w:end w:w="120" w:type="dxa"/>
            </w:tcMar>
          </w:tcPr>
          <w:p>
            <w:pPr>
              <w:spacing w:after="0"/>
            </w:pPr>
            <w:r>
              <w:rPr>
                <w:color w:val="1E2936"/>
                <w:sz w:val="18"/>
              </w:rPr>
              <w:t>Forming</w:t>
            </w:r>
          </w:p>
        </w:tc>
        <w:tc>
          <w:tcPr>
            <w:tcW w:type="dxa" w:w="3300"/>
            <w:vAlign w:val="center"/>
            <w:tcMar>
              <w:top w:w="90" w:type="dxa"/>
              <w:start w:w="120" w:type="dxa"/>
              <w:bottom w:w="90" w:type="dxa"/>
              <w:end w:w="120" w:type="dxa"/>
            </w:tcMar>
          </w:tcPr>
          <w:p>
            <w:pPr>
              <w:spacing w:after="0"/>
            </w:pPr>
            <w:r>
              <w:rPr>
                <w:color w:val="1E2936"/>
                <w:sz w:val="18"/>
              </w:rPr>
              <w:t>An early partial path is developing.</w:t>
            </w:r>
          </w:p>
        </w:tc>
        <w:tc>
          <w:tcPr>
            <w:tcW w:type="dxa" w:w="4210"/>
            <w:vAlign w:val="center"/>
            <w:tcMar>
              <w:top w:w="90" w:type="dxa"/>
              <w:start w:w="120" w:type="dxa"/>
              <w:bottom w:w="90" w:type="dxa"/>
              <w:end w:w="120" w:type="dxa"/>
            </w:tcMar>
          </w:tcPr>
          <w:p>
            <w:pPr>
              <w:spacing w:after="0"/>
            </w:pPr>
            <w:r>
              <w:rPr>
                <w:color w:val="1E2936"/>
                <w:sz w:val="18"/>
              </w:rPr>
              <w:t>Watch only; do not treat the final pivot as confirmed.</w:t>
            </w:r>
          </w:p>
        </w:tc>
      </w:tr>
      <w:tr>
        <w:trPr>
          <w:cantSplit/>
        </w:trPr>
        <w:tc>
          <w:tcPr>
            <w:tcW w:type="dxa" w:w="1850"/>
            <w:vAlign w:val="center"/>
            <w:tcMar>
              <w:top w:w="90" w:type="dxa"/>
              <w:start w:w="120" w:type="dxa"/>
              <w:bottom w:w="90" w:type="dxa"/>
              <w:end w:w="120" w:type="dxa"/>
            </w:tcMar>
          </w:tcPr>
          <w:p>
            <w:pPr>
              <w:spacing w:after="0"/>
            </w:pPr>
            <w:r>
              <w:rPr>
                <w:color w:val="1E2936"/>
                <w:sz w:val="18"/>
              </w:rPr>
              <w:t>EntryReady + below threshold</w:t>
            </w:r>
          </w:p>
        </w:tc>
        <w:tc>
          <w:tcPr>
            <w:tcW w:type="dxa" w:w="3300"/>
            <w:vAlign w:val="center"/>
            <w:tcMar>
              <w:top w:w="90" w:type="dxa"/>
              <w:start w:w="120" w:type="dxa"/>
              <w:bottom w:w="90" w:type="dxa"/>
              <w:end w:w="120" w:type="dxa"/>
            </w:tcMar>
          </w:tcPr>
          <w:p>
            <w:pPr>
              <w:spacing w:after="0"/>
            </w:pPr>
            <w:r>
              <w:rPr>
                <w:color w:val="1E2936"/>
                <w:sz w:val="18"/>
              </w:rPr>
              <w:t>The terminal pivot exists, but guideline quality is insufficient.</w:t>
            </w:r>
          </w:p>
        </w:tc>
        <w:tc>
          <w:tcPr>
            <w:tcW w:type="dxa" w:w="4210"/>
            <w:vAlign w:val="center"/>
            <w:tcMar>
              <w:top w:w="90" w:type="dxa"/>
              <w:start w:w="120" w:type="dxa"/>
              <w:bottom w:w="90" w:type="dxa"/>
              <w:end w:w="120" w:type="dxa"/>
            </w:tcMar>
          </w:tcPr>
          <w:p>
            <w:pPr>
              <w:spacing w:after="0"/>
            </w:pPr>
            <w:r>
              <w:rPr>
                <w:color w:val="1E2936"/>
                <w:sz w:val="18"/>
              </w:rPr>
              <w:t>Wait or reject. No marker should appear.</w:t>
            </w:r>
          </w:p>
        </w:tc>
      </w:tr>
      <w:tr>
        <w:trPr>
          <w:cantSplit/>
        </w:trPr>
        <w:tc>
          <w:tcPr>
            <w:tcW w:type="dxa" w:w="1850"/>
            <w:vAlign w:val="center"/>
            <w:tcMar>
              <w:top w:w="90" w:type="dxa"/>
              <w:start w:w="120" w:type="dxa"/>
              <w:bottom w:w="90" w:type="dxa"/>
              <w:end w:w="120" w:type="dxa"/>
            </w:tcMar>
          </w:tcPr>
          <w:p>
            <w:pPr>
              <w:spacing w:after="0"/>
            </w:pPr>
            <w:r>
              <w:rPr>
                <w:color w:val="1E2936"/>
                <w:sz w:val="18"/>
              </w:rPr>
              <w:t>EntryReady + passed threshold</w:t>
            </w:r>
          </w:p>
        </w:tc>
        <w:tc>
          <w:tcPr>
            <w:tcW w:type="dxa" w:w="3300"/>
            <w:vAlign w:val="center"/>
            <w:tcMar>
              <w:top w:w="90" w:type="dxa"/>
              <w:start w:w="120" w:type="dxa"/>
              <w:bottom w:w="90" w:type="dxa"/>
              <w:end w:w="120" w:type="dxa"/>
            </w:tcMar>
          </w:tcPr>
          <w:p>
            <w:pPr>
              <w:spacing w:after="0"/>
            </w:pPr>
            <w:r>
              <w:rPr>
                <w:color w:val="1E2936"/>
                <w:sz w:val="18"/>
              </w:rPr>
              <w:t>Structure and confidence gates pass.</w:t>
            </w:r>
          </w:p>
        </w:tc>
        <w:tc>
          <w:tcPr>
            <w:tcW w:type="dxa" w:w="4210"/>
            <w:vAlign w:val="center"/>
            <w:tcMar>
              <w:top w:w="90" w:type="dxa"/>
              <w:start w:w="120" w:type="dxa"/>
              <w:bottom w:w="90" w:type="dxa"/>
              <w:end w:w="120" w:type="dxa"/>
            </w:tcMar>
          </w:tcPr>
          <w:p>
            <w:pPr>
              <w:spacing w:after="0"/>
            </w:pPr>
            <w:r>
              <w:rPr>
                <w:color w:val="1E2936"/>
                <w:sz w:val="18"/>
              </w:rPr>
              <w:t>Perform risk, execution, and market-regime checks.</w:t>
            </w:r>
          </w:p>
        </w:tc>
      </w:tr>
      <w:tr>
        <w:trPr>
          <w:cantSplit/>
        </w:trPr>
        <w:tc>
          <w:tcPr>
            <w:tcW w:type="dxa" w:w="1850"/>
            <w:vAlign w:val="center"/>
            <w:tcMar>
              <w:top w:w="90" w:type="dxa"/>
              <w:start w:w="120" w:type="dxa"/>
              <w:bottom w:w="90" w:type="dxa"/>
              <w:end w:w="120" w:type="dxa"/>
            </w:tcMar>
          </w:tcPr>
          <w:p>
            <w:pPr>
              <w:spacing w:after="0"/>
            </w:pPr>
            <w:r>
              <w:rPr>
                <w:color w:val="1E2936"/>
                <w:sz w:val="18"/>
              </w:rPr>
              <w:t>Completed</w:t>
            </w:r>
          </w:p>
        </w:tc>
        <w:tc>
          <w:tcPr>
            <w:tcW w:type="dxa" w:w="3300"/>
            <w:vAlign w:val="center"/>
            <w:tcMar>
              <w:top w:w="90" w:type="dxa"/>
              <w:start w:w="120" w:type="dxa"/>
              <w:bottom w:w="90" w:type="dxa"/>
              <w:end w:w="120" w:type="dxa"/>
            </w:tcMar>
          </w:tcPr>
          <w:p>
            <w:pPr>
              <w:spacing w:after="0"/>
            </w:pPr>
            <w:r>
              <w:rPr>
                <w:color w:val="1E2936"/>
                <w:sz w:val="18"/>
              </w:rPr>
              <w:t>The full historical structure is confirmed.</w:t>
            </w:r>
          </w:p>
        </w:tc>
        <w:tc>
          <w:tcPr>
            <w:tcW w:type="dxa" w:w="4210"/>
            <w:vAlign w:val="center"/>
            <w:tcMar>
              <w:top w:w="90" w:type="dxa"/>
              <w:start w:w="120" w:type="dxa"/>
              <w:bottom w:w="90" w:type="dxa"/>
              <w:end w:w="120" w:type="dxa"/>
            </w:tcMar>
          </w:tcPr>
          <w:p>
            <w:pPr>
              <w:spacing w:after="0"/>
            </w:pPr>
            <w:r>
              <w:rPr>
                <w:color w:val="1E2936"/>
                <w:sz w:val="18"/>
              </w:rPr>
              <w:t>Use for context; it may no longer be an entry.</w:t>
            </w:r>
          </w:p>
        </w:tc>
      </w:tr>
      <w:tr>
        <w:trPr>
          <w:cantSplit/>
        </w:trPr>
        <w:tc>
          <w:tcPr>
            <w:tcW w:type="dxa" w:w="1850"/>
            <w:vAlign w:val="center"/>
            <w:tcMar>
              <w:top w:w="90" w:type="dxa"/>
              <w:start w:w="120" w:type="dxa"/>
              <w:bottom w:w="90" w:type="dxa"/>
              <w:end w:w="120" w:type="dxa"/>
            </w:tcMar>
          </w:tcPr>
          <w:p>
            <w:pPr>
              <w:spacing w:after="0"/>
            </w:pPr>
            <w:r>
              <w:rPr>
                <w:color w:val="1E2936"/>
                <w:sz w:val="18"/>
              </w:rPr>
              <w:t>Invalidated / target hit</w:t>
            </w:r>
          </w:p>
        </w:tc>
        <w:tc>
          <w:tcPr>
            <w:tcW w:type="dxa" w:w="3300"/>
            <w:vAlign w:val="center"/>
            <w:tcMar>
              <w:top w:w="90" w:type="dxa"/>
              <w:start w:w="120" w:type="dxa"/>
              <w:bottom w:w="90" w:type="dxa"/>
              <w:end w:w="120" w:type="dxa"/>
            </w:tcMar>
          </w:tcPr>
          <w:p>
            <w:pPr>
              <w:spacing w:after="0"/>
            </w:pPr>
            <w:r>
              <w:rPr>
                <w:color w:val="1E2936"/>
                <w:sz w:val="18"/>
              </w:rPr>
              <w:t>The active trade thesis is no longer live.</w:t>
            </w:r>
          </w:p>
        </w:tc>
        <w:tc>
          <w:tcPr>
            <w:tcW w:type="dxa" w:w="4210"/>
            <w:vAlign w:val="center"/>
            <w:tcMar>
              <w:top w:w="90" w:type="dxa"/>
              <w:start w:w="120" w:type="dxa"/>
              <w:bottom w:w="90" w:type="dxa"/>
              <w:end w:w="120" w:type="dxa"/>
            </w:tcMar>
          </w:tcPr>
          <w:p>
            <w:pPr>
              <w:spacing w:after="0"/>
            </w:pPr>
            <w:r>
              <w:rPr>
                <w:color w:val="1E2936"/>
                <w:sz w:val="18"/>
              </w:rPr>
              <w:t>Do not enter from the old signal.</w:t>
            </w:r>
          </w:p>
        </w:tc>
      </w:tr>
    </w:tbl>
    <w:p>
      <w:pPr>
        <w:spacing w:after="20"/>
      </w:pPr>
    </w:p>
    <w:p>
      <w:r>
        <w:br w:type="page"/>
      </w:r>
    </w:p>
    <w:p>
      <w:pPr>
        <w:pStyle w:val="Heading1"/>
      </w:pPr>
      <w:r>
        <w:t>Single Chart Terminal: control reference</w:t>
      </w:r>
    </w:p>
    <w:p>
      <w:pPr>
        <w:jc w:val="center"/>
      </w:pPr>
      <w:r>
        <w:drawing>
          <wp:inline xmlns:a="http://schemas.openxmlformats.org/drawingml/2006/main" xmlns:pic="http://schemas.openxmlformats.org/drawingml/2006/picture">
            <wp:extent cx="6126480" cy="5248023"/>
            <wp:docPr id="2" name="Picture 2" descr="Single Chart Terminal with asset, timeframe, pattern and ATR controls above the chart." title="Single Chart Terminal with asset, timeframe, pattern and ATR controls above the chart."/>
            <wp:cNvGraphicFramePr>
              <a:graphicFrameLocks noChangeAspect="1"/>
            </wp:cNvGraphicFramePr>
            <a:graphic>
              <a:graphicData uri="http://schemas.openxmlformats.org/drawingml/2006/picture">
                <pic:pic>
                  <pic:nvPicPr>
                    <pic:cNvPr id="0" name="terminal-overview.png"/>
                    <pic:cNvPicPr/>
                  </pic:nvPicPr>
                  <pic:blipFill>
                    <a:blip r:embed="rId11"/>
                    <a:stretch>
                      <a:fillRect/>
                    </a:stretch>
                  </pic:blipFill>
                  <pic:spPr>
                    <a:xfrm>
                      <a:off x="0" y="0"/>
                      <a:ext cx="6126480" cy="5248023"/>
                    </a:xfrm>
                    <a:prstGeom prst="rect"/>
                  </pic:spPr>
                </pic:pic>
              </a:graphicData>
            </a:graphic>
          </wp:inline>
        </w:drawing>
      </w:r>
    </w:p>
    <w:p>
      <w:pPr>
        <w:jc w:val="center"/>
      </w:pPr>
      <w:r>
        <w:rPr>
          <w:i/>
          <w:color w:val="647184"/>
          <w:sz w:val="17"/>
        </w:rPr>
        <w:t>Figure 1. Current terminal overview. Controls appear above the chart; the Structure Inspector is on the right.</w:t>
      </w:r>
    </w:p>
    <w:p>
      <w:r>
        <w:br w:type="page"/>
      </w:r>
    </w:p>
    <w:tbl>
      <w:tblPr>
        <w:tblStyle w:val="TableGrid"/>
        <w:tblW w:type="auto" w:w="0"/>
        <w:jc w:val="left"/>
        <w:tblLayout w:type="fixed"/>
        <w:tblLook w:firstColumn="1" w:firstRow="1" w:lastColumn="0" w:lastRow="0" w:noHBand="0" w:noVBand="1" w:val="04A0"/>
      </w:tblPr>
      <w:tblGrid>
        <w:gridCol w:w="3293"/>
        <w:gridCol w:w="3293"/>
        <w:gridCol w:w="3293"/>
      </w:tblGrid>
      <w:tr>
        <w:trPr>
          <w:tblHeader w:val="true"/>
        </w:trPr>
        <w:tc>
          <w:tcPr>
            <w:tcW w:type="dxa" w:w="1650"/>
            <w:shd w:fill="E8EEF5"/>
            <w:vAlign w:val="center"/>
            <w:tcMar>
              <w:top w:w="90" w:type="dxa"/>
              <w:start w:w="120" w:type="dxa"/>
              <w:bottom w:w="90" w:type="dxa"/>
              <w:end w:w="120" w:type="dxa"/>
            </w:tcMar>
          </w:tcPr>
          <w:p>
            <w:r>
              <w:rPr>
                <w:b/>
                <w:color w:val="132238"/>
                <w:sz w:val="19"/>
              </w:rPr>
              <w:t>Control</w:t>
            </w:r>
          </w:p>
        </w:tc>
        <w:tc>
          <w:tcPr>
            <w:tcW w:type="dxa" w:w="2350"/>
            <w:shd w:fill="E8EEF5"/>
            <w:vAlign w:val="center"/>
            <w:tcMar>
              <w:top w:w="90" w:type="dxa"/>
              <w:start w:w="120" w:type="dxa"/>
              <w:bottom w:w="90" w:type="dxa"/>
              <w:end w:w="120" w:type="dxa"/>
            </w:tcMar>
          </w:tcPr>
          <w:p>
            <w:r>
              <w:rPr>
                <w:b/>
                <w:color w:val="132238"/>
                <w:sz w:val="19"/>
              </w:rPr>
              <w:t>Options / range</w:t>
            </w:r>
          </w:p>
        </w:tc>
        <w:tc>
          <w:tcPr>
            <w:tcW w:type="dxa" w:w="5360"/>
            <w:shd w:fill="E8EEF5"/>
            <w:vAlign w:val="center"/>
            <w:tcMar>
              <w:top w:w="90" w:type="dxa"/>
              <w:start w:w="120" w:type="dxa"/>
              <w:bottom w:w="90" w:type="dxa"/>
              <w:end w:w="120" w:type="dxa"/>
            </w:tcMar>
          </w:tcPr>
          <w:p>
            <w:r>
              <w:rPr>
                <w:b/>
                <w:color w:val="132238"/>
                <w:sz w:val="19"/>
              </w:rPr>
              <w:t>How to use it</w:t>
            </w:r>
          </w:p>
        </w:tc>
      </w:tr>
      <w:tr>
        <w:trPr>
          <w:cantSplit/>
        </w:trPr>
        <w:tc>
          <w:tcPr>
            <w:tcW w:type="dxa" w:w="1650"/>
            <w:vAlign w:val="center"/>
            <w:tcMar>
              <w:top w:w="90" w:type="dxa"/>
              <w:start w:w="120" w:type="dxa"/>
              <w:bottom w:w="90" w:type="dxa"/>
              <w:end w:w="120" w:type="dxa"/>
            </w:tcMar>
          </w:tcPr>
          <w:p>
            <w:pPr>
              <w:spacing w:after="0"/>
            </w:pPr>
            <w:r>
              <w:rPr>
                <w:color w:val="1E2936"/>
                <w:sz w:val="18"/>
              </w:rPr>
              <w:t>Market</w:t>
            </w:r>
          </w:p>
        </w:tc>
        <w:tc>
          <w:tcPr>
            <w:tcW w:type="dxa" w:w="2350"/>
            <w:vAlign w:val="center"/>
            <w:tcMar>
              <w:top w:w="90" w:type="dxa"/>
              <w:start w:w="120" w:type="dxa"/>
              <w:bottom w:w="90" w:type="dxa"/>
              <w:end w:w="120" w:type="dxa"/>
            </w:tcMar>
          </w:tcPr>
          <w:p>
            <w:pPr>
              <w:spacing w:after="0"/>
            </w:pPr>
            <w:r>
              <w:rPr>
                <w:color w:val="1E2936"/>
                <w:sz w:val="18"/>
              </w:rPr>
              <w:t>All local .db/.sqlite assets</w:t>
            </w:r>
          </w:p>
        </w:tc>
        <w:tc>
          <w:tcPr>
            <w:tcW w:type="dxa" w:w="5360"/>
            <w:vAlign w:val="center"/>
            <w:tcMar>
              <w:top w:w="90" w:type="dxa"/>
              <w:start w:w="120" w:type="dxa"/>
              <w:bottom w:w="90" w:type="dxa"/>
              <w:end w:w="120" w:type="dxa"/>
            </w:tcMar>
          </w:tcPr>
          <w:p>
            <w:pPr>
              <w:spacing w:after="0"/>
            </w:pPr>
            <w:r>
              <w:rPr>
                <w:color w:val="1E2936"/>
                <w:sz w:val="18"/>
              </w:rPr>
              <w:t>Selects one canonical M5 database. The current build includes 25 test markets.</w:t>
            </w:r>
          </w:p>
        </w:tc>
      </w:tr>
      <w:tr>
        <w:trPr>
          <w:cantSplit/>
        </w:trPr>
        <w:tc>
          <w:tcPr>
            <w:tcW w:type="dxa" w:w="1650"/>
            <w:vAlign w:val="center"/>
            <w:tcMar>
              <w:top w:w="90" w:type="dxa"/>
              <w:start w:w="120" w:type="dxa"/>
              <w:bottom w:w="90" w:type="dxa"/>
              <w:end w:w="120" w:type="dxa"/>
            </w:tcMar>
          </w:tcPr>
          <w:p>
            <w:pPr>
              <w:spacing w:after="0"/>
            </w:pPr>
            <w:r>
              <w:rPr>
                <w:color w:val="1E2936"/>
                <w:sz w:val="18"/>
              </w:rPr>
              <w:t>Timeframe</w:t>
            </w:r>
          </w:p>
        </w:tc>
        <w:tc>
          <w:tcPr>
            <w:tcW w:type="dxa" w:w="2350"/>
            <w:vAlign w:val="center"/>
            <w:tcMar>
              <w:top w:w="90" w:type="dxa"/>
              <w:start w:w="120" w:type="dxa"/>
              <w:bottom w:w="90" w:type="dxa"/>
              <w:end w:w="120" w:type="dxa"/>
            </w:tcMar>
          </w:tcPr>
          <w:p>
            <w:pPr>
              <w:spacing w:after="0"/>
            </w:pPr>
            <w:r>
              <w:rPr>
                <w:color w:val="1E2936"/>
                <w:sz w:val="18"/>
              </w:rPr>
              <w:t>15M, 30M, 1H, 2H, 4H, 1D, 1W</w:t>
            </w:r>
          </w:p>
        </w:tc>
        <w:tc>
          <w:tcPr>
            <w:tcW w:type="dxa" w:w="5360"/>
            <w:vAlign w:val="center"/>
            <w:tcMar>
              <w:top w:w="90" w:type="dxa"/>
              <w:start w:w="120" w:type="dxa"/>
              <w:bottom w:w="90" w:type="dxa"/>
              <w:end w:w="120" w:type="dxa"/>
            </w:tcMar>
          </w:tcPr>
          <w:p>
            <w:pPr>
              <w:spacing w:after="0"/>
            </w:pPr>
            <w:r>
              <w:rPr>
                <w:color w:val="1E2936"/>
                <w:sz w:val="18"/>
              </w:rPr>
              <w:t>Resampled dynamically. Lower frames are noisier; higher frames need more complete history.</w:t>
            </w:r>
          </w:p>
        </w:tc>
      </w:tr>
      <w:tr>
        <w:trPr>
          <w:cantSplit/>
        </w:trPr>
        <w:tc>
          <w:tcPr>
            <w:tcW w:type="dxa" w:w="1650"/>
            <w:vAlign w:val="center"/>
            <w:tcMar>
              <w:top w:w="90" w:type="dxa"/>
              <w:start w:w="120" w:type="dxa"/>
              <w:bottom w:w="90" w:type="dxa"/>
              <w:end w:w="120" w:type="dxa"/>
            </w:tcMar>
          </w:tcPr>
          <w:p>
            <w:pPr>
              <w:spacing w:after="0"/>
            </w:pPr>
            <w:r>
              <w:rPr>
                <w:color w:val="1E2936"/>
                <w:sz w:val="18"/>
              </w:rPr>
              <w:t>Pattern View</w:t>
            </w:r>
          </w:p>
        </w:tc>
        <w:tc>
          <w:tcPr>
            <w:tcW w:type="dxa" w:w="2350"/>
            <w:vAlign w:val="center"/>
            <w:tcMar>
              <w:top w:w="90" w:type="dxa"/>
              <w:start w:w="120" w:type="dxa"/>
              <w:bottom w:w="90" w:type="dxa"/>
              <w:end w:w="120" w:type="dxa"/>
            </w:tcMar>
          </w:tcPr>
          <w:p>
            <w:pPr>
              <w:spacing w:after="0"/>
            </w:pPr>
            <w:r>
              <w:rPr>
                <w:color w:val="1E2936"/>
                <w:sz w:val="18"/>
              </w:rPr>
              <w:t>Balanced; Impulse 1-5; ZigZag ABC</w:t>
            </w:r>
          </w:p>
        </w:tc>
        <w:tc>
          <w:tcPr>
            <w:tcW w:type="dxa" w:w="5360"/>
            <w:vAlign w:val="center"/>
            <w:tcMar>
              <w:top w:w="90" w:type="dxa"/>
              <w:start w:w="120" w:type="dxa"/>
              <w:bottom w:w="90" w:type="dxa"/>
              <w:end w:w="120" w:type="dxa"/>
            </w:tcMar>
          </w:tcPr>
          <w:p>
            <w:pPr>
              <w:spacing w:after="0"/>
            </w:pPr>
            <w:r>
              <w:rPr>
                <w:color w:val="1E2936"/>
                <w:sz w:val="18"/>
              </w:rPr>
              <w:t>Balanced is the default review. Filter when the chart is crowded or your thesis is pattern-specific.</w:t>
            </w:r>
          </w:p>
        </w:tc>
      </w:tr>
      <w:tr>
        <w:trPr>
          <w:cantSplit/>
        </w:trPr>
        <w:tc>
          <w:tcPr>
            <w:tcW w:type="dxa" w:w="1650"/>
            <w:vAlign w:val="center"/>
            <w:tcMar>
              <w:top w:w="90" w:type="dxa"/>
              <w:start w:w="120" w:type="dxa"/>
              <w:bottom w:w="90" w:type="dxa"/>
              <w:end w:w="120" w:type="dxa"/>
            </w:tcMar>
          </w:tcPr>
          <w:p>
            <w:pPr>
              <w:spacing w:after="0"/>
            </w:pPr>
            <w:r>
              <w:rPr>
                <w:color w:val="1E2936"/>
                <w:sz w:val="18"/>
              </w:rPr>
              <w:t>ATR Multiplier</w:t>
            </w:r>
          </w:p>
        </w:tc>
        <w:tc>
          <w:tcPr>
            <w:tcW w:type="dxa" w:w="2350"/>
            <w:vAlign w:val="center"/>
            <w:tcMar>
              <w:top w:w="90" w:type="dxa"/>
              <w:start w:w="120" w:type="dxa"/>
              <w:bottom w:w="90" w:type="dxa"/>
              <w:end w:w="120" w:type="dxa"/>
            </w:tcMar>
          </w:tcPr>
          <w:p>
            <w:pPr>
              <w:spacing w:after="0"/>
            </w:pPr>
            <w:r>
              <w:rPr>
                <w:color w:val="1E2936"/>
                <w:sz w:val="18"/>
              </w:rPr>
              <w:t>1.5 to 4.0</w:t>
            </w:r>
          </w:p>
        </w:tc>
        <w:tc>
          <w:tcPr>
            <w:tcW w:type="dxa" w:w="5360"/>
            <w:vAlign w:val="center"/>
            <w:tcMar>
              <w:top w:w="90" w:type="dxa"/>
              <w:start w:w="120" w:type="dxa"/>
              <w:bottom w:w="90" w:type="dxa"/>
              <w:end w:w="120" w:type="dxa"/>
            </w:tcMar>
          </w:tcPr>
          <w:p>
            <w:pPr>
              <w:spacing w:after="0"/>
            </w:pPr>
            <w:r>
              <w:rPr>
                <w:color w:val="1E2936"/>
                <w:sz w:val="18"/>
              </w:rPr>
              <w:t>Higher values require larger reversals and produce fewer pivots. Lower values detect more detail and more noise.</w:t>
            </w:r>
          </w:p>
        </w:tc>
      </w:tr>
      <w:tr>
        <w:trPr>
          <w:cantSplit/>
        </w:trPr>
        <w:tc>
          <w:tcPr>
            <w:tcW w:type="dxa" w:w="1650"/>
            <w:vAlign w:val="center"/>
            <w:tcMar>
              <w:top w:w="90" w:type="dxa"/>
              <w:start w:w="120" w:type="dxa"/>
              <w:bottom w:w="90" w:type="dxa"/>
              <w:end w:w="120" w:type="dxa"/>
            </w:tcMar>
          </w:tcPr>
          <w:p>
            <w:pPr>
              <w:spacing w:after="0"/>
            </w:pPr>
            <w:r>
              <w:rPr>
                <w:color w:val="1E2936"/>
                <w:sz w:val="18"/>
              </w:rPr>
              <w:t>ATR Period</w:t>
            </w:r>
          </w:p>
        </w:tc>
        <w:tc>
          <w:tcPr>
            <w:tcW w:type="dxa" w:w="2350"/>
            <w:vAlign w:val="center"/>
            <w:tcMar>
              <w:top w:w="90" w:type="dxa"/>
              <w:start w:w="120" w:type="dxa"/>
              <w:bottom w:w="90" w:type="dxa"/>
              <w:end w:w="120" w:type="dxa"/>
            </w:tcMar>
          </w:tcPr>
          <w:p>
            <w:pPr>
              <w:spacing w:after="0"/>
            </w:pPr>
            <w:r>
              <w:rPr>
                <w:color w:val="1E2936"/>
                <w:sz w:val="18"/>
              </w:rPr>
              <w:t>5 to 50</w:t>
            </w:r>
          </w:p>
        </w:tc>
        <w:tc>
          <w:tcPr>
            <w:tcW w:type="dxa" w:w="5360"/>
            <w:vAlign w:val="center"/>
            <w:tcMar>
              <w:top w:w="90" w:type="dxa"/>
              <w:start w:w="120" w:type="dxa"/>
              <w:bottom w:w="90" w:type="dxa"/>
              <w:end w:w="120" w:type="dxa"/>
            </w:tcMar>
          </w:tcPr>
          <w:p>
            <w:pPr>
              <w:spacing w:after="0"/>
            </w:pPr>
            <w:r>
              <w:rPr>
                <w:color w:val="1E2936"/>
                <w:sz w:val="18"/>
              </w:rPr>
              <w:t>Controls volatility smoothing. Fourteen is the standard baseline.</w:t>
            </w:r>
          </w:p>
        </w:tc>
      </w:tr>
      <w:tr>
        <w:trPr>
          <w:cantSplit/>
        </w:trPr>
        <w:tc>
          <w:tcPr>
            <w:tcW w:type="dxa" w:w="1650"/>
            <w:vAlign w:val="center"/>
            <w:tcMar>
              <w:top w:w="90" w:type="dxa"/>
              <w:start w:w="120" w:type="dxa"/>
              <w:bottom w:w="90" w:type="dxa"/>
              <w:end w:w="120" w:type="dxa"/>
            </w:tcMar>
          </w:tcPr>
          <w:p>
            <w:pPr>
              <w:spacing w:after="0"/>
            </w:pPr>
            <w:r>
              <w:rPr>
                <w:color w:val="1E2936"/>
                <w:sz w:val="18"/>
              </w:rPr>
              <w:t>Candidate Scope</w:t>
            </w:r>
          </w:p>
        </w:tc>
        <w:tc>
          <w:tcPr>
            <w:tcW w:type="dxa" w:w="2350"/>
            <w:vAlign w:val="center"/>
            <w:tcMar>
              <w:top w:w="90" w:type="dxa"/>
              <w:start w:w="120" w:type="dxa"/>
              <w:bottom w:w="90" w:type="dxa"/>
              <w:end w:w="120" w:type="dxa"/>
            </w:tcMar>
          </w:tcPr>
          <w:p>
            <w:pPr>
              <w:spacing w:after="0"/>
            </w:pPr>
            <w:r>
              <w:rPr>
                <w:color w:val="1E2936"/>
                <w:sz w:val="18"/>
              </w:rPr>
              <w:t>Actionable; Recent 30D; All history</w:t>
            </w:r>
          </w:p>
        </w:tc>
        <w:tc>
          <w:tcPr>
            <w:tcW w:type="dxa" w:w="5360"/>
            <w:vAlign w:val="center"/>
            <w:tcMar>
              <w:top w:w="90" w:type="dxa"/>
              <w:start w:w="120" w:type="dxa"/>
              <w:bottom w:w="90" w:type="dxa"/>
              <w:end w:w="120" w:type="dxa"/>
            </w:tcMar>
          </w:tcPr>
          <w:p>
            <w:pPr>
              <w:spacing w:after="0"/>
            </w:pPr>
            <w:r>
              <w:rPr>
                <w:color w:val="1E2936"/>
                <w:sz w:val="18"/>
              </w:rPr>
              <w:t>Actionable is best for decisions. All history is mainly for audit and research.</w:t>
            </w:r>
          </w:p>
        </w:tc>
      </w:tr>
    </w:tbl>
    <w:p>
      <w:pPr>
        <w:spacing w:after="20"/>
      </w:pPr>
    </w:p>
    <w:tbl>
      <w:tblPr>
        <w:tblW w:type="auto" w:w="0"/>
        <w:jc w:val="left"/>
        <w:tblLayout w:type="fixed"/>
        <w:tblLook w:firstColumn="1" w:firstRow="1" w:lastColumn="0" w:lastRow="0" w:noHBand="0" w:noVBand="1" w:val="04A0"/>
      </w:tblPr>
      <w:tblGrid>
        <w:gridCol w:w="9878"/>
      </w:tblGrid>
      <w:tr>
        <w:tc>
          <w:tcPr>
            <w:tcW w:type="dxa" w:w="9360"/>
            <w:shd w:fill="F4F6F9"/>
            <w:tcMar>
              <w:top w:w="120" w:type="dxa"/>
              <w:start w:w="160" w:type="dxa"/>
              <w:bottom w:w="120" w:type="dxa"/>
              <w:end w:w="160" w:type="dxa"/>
            </w:tcMar>
          </w:tcPr>
          <w:p>
            <w:pPr>
              <w:spacing w:after="0"/>
            </w:pPr>
            <w:r>
              <w:rPr>
                <w:b/>
                <w:color w:val="A97200"/>
              </w:rPr>
              <w:t xml:space="preserve">Parameter discipline: </w:t>
            </w:r>
            <w:r>
              <w:rPr>
                <w:color w:val="1E2936"/>
              </w:rPr>
              <w:t>Do not move ATR settings until a preferred pattern appears. That is outcome-driven fitting. Define and test a parameter policy before reviewing the setup.</w:t>
            </w:r>
          </w:p>
        </w:tc>
      </w:tr>
    </w:tbl>
    <w:p>
      <w:pPr>
        <w:spacing w:after="20"/>
      </w:pPr>
    </w:p>
    <w:p>
      <w:pPr>
        <w:pStyle w:val="Heading2"/>
      </w:pPr>
      <w:r>
        <w:t>How ATR settings change the chart</w:t>
      </w:r>
    </w:p>
    <w:tbl>
      <w:tblPr>
        <w:tblStyle w:val="TableGrid"/>
        <w:tblW w:type="auto" w:w="0"/>
        <w:jc w:val="left"/>
        <w:tblLayout w:type="fixed"/>
        <w:tblLook w:firstColumn="1" w:firstRow="1" w:lastColumn="0" w:lastRow="0" w:noHBand="0" w:noVBand="1" w:val="04A0"/>
      </w:tblPr>
      <w:tblGrid>
        <w:gridCol w:w="3293"/>
        <w:gridCol w:w="3293"/>
        <w:gridCol w:w="3293"/>
      </w:tblGrid>
      <w:tr>
        <w:trPr>
          <w:tblHeader w:val="true"/>
        </w:trPr>
        <w:tc>
          <w:tcPr>
            <w:tcW w:type="dxa" w:w="1900"/>
            <w:shd w:fill="E8EEF5"/>
            <w:vAlign w:val="center"/>
            <w:tcMar>
              <w:top w:w="90" w:type="dxa"/>
              <w:start w:w="120" w:type="dxa"/>
              <w:bottom w:w="90" w:type="dxa"/>
              <w:end w:w="120" w:type="dxa"/>
            </w:tcMar>
          </w:tcPr>
          <w:p>
            <w:r>
              <w:rPr>
                <w:b/>
                <w:color w:val="132238"/>
                <w:sz w:val="19"/>
              </w:rPr>
              <w:t>Change</w:t>
            </w:r>
          </w:p>
        </w:tc>
        <w:tc>
          <w:tcPr>
            <w:tcW w:type="dxa" w:w="3560"/>
            <w:shd w:fill="E8EEF5"/>
            <w:vAlign w:val="center"/>
            <w:tcMar>
              <w:top w:w="90" w:type="dxa"/>
              <w:start w:w="120" w:type="dxa"/>
              <w:bottom w:w="90" w:type="dxa"/>
              <w:end w:w="120" w:type="dxa"/>
            </w:tcMar>
          </w:tcPr>
          <w:p>
            <w:r>
              <w:rPr>
                <w:b/>
                <w:color w:val="132238"/>
                <w:sz w:val="19"/>
              </w:rPr>
              <w:t>Expected effect</w:t>
            </w:r>
          </w:p>
        </w:tc>
        <w:tc>
          <w:tcPr>
            <w:tcW w:type="dxa" w:w="3900"/>
            <w:shd w:fill="E8EEF5"/>
            <w:vAlign w:val="center"/>
            <w:tcMar>
              <w:top w:w="90" w:type="dxa"/>
              <w:start w:w="120" w:type="dxa"/>
              <w:bottom w:w="90" w:type="dxa"/>
              <w:end w:w="120" w:type="dxa"/>
            </w:tcMar>
          </w:tcPr>
          <w:p>
            <w:r>
              <w:rPr>
                <w:b/>
                <w:color w:val="132238"/>
                <w:sz w:val="19"/>
              </w:rPr>
              <w:t>Main risk</w:t>
            </w:r>
          </w:p>
        </w:tc>
      </w:tr>
      <w:tr>
        <w:trPr>
          <w:cantSplit/>
        </w:trPr>
        <w:tc>
          <w:tcPr>
            <w:tcW w:type="dxa" w:w="1900"/>
            <w:vAlign w:val="center"/>
            <w:tcMar>
              <w:top w:w="90" w:type="dxa"/>
              <w:start w:w="120" w:type="dxa"/>
              <w:bottom w:w="90" w:type="dxa"/>
              <w:end w:w="120" w:type="dxa"/>
            </w:tcMar>
          </w:tcPr>
          <w:p>
            <w:pPr>
              <w:spacing w:after="0"/>
            </w:pPr>
            <w:r>
              <w:rPr>
                <w:color w:val="1E2936"/>
                <w:sz w:val="18"/>
              </w:rPr>
              <w:t>Lower multiplier</w:t>
            </w:r>
          </w:p>
        </w:tc>
        <w:tc>
          <w:tcPr>
            <w:tcW w:type="dxa" w:w="3560"/>
            <w:vAlign w:val="center"/>
            <w:tcMar>
              <w:top w:w="90" w:type="dxa"/>
              <w:start w:w="120" w:type="dxa"/>
              <w:bottom w:w="90" w:type="dxa"/>
              <w:end w:w="120" w:type="dxa"/>
            </w:tcMar>
          </w:tcPr>
          <w:p>
            <w:pPr>
              <w:spacing w:after="0"/>
            </w:pPr>
            <w:r>
              <w:rPr>
                <w:color w:val="1E2936"/>
                <w:sz w:val="18"/>
              </w:rPr>
              <w:t>More pivots and more short-duration paths</w:t>
            </w:r>
          </w:p>
        </w:tc>
        <w:tc>
          <w:tcPr>
            <w:tcW w:type="dxa" w:w="3900"/>
            <w:vAlign w:val="center"/>
            <w:tcMar>
              <w:top w:w="90" w:type="dxa"/>
              <w:start w:w="120" w:type="dxa"/>
              <w:bottom w:w="90" w:type="dxa"/>
              <w:end w:w="120" w:type="dxa"/>
            </w:tcMar>
          </w:tcPr>
          <w:p>
            <w:pPr>
              <w:spacing w:after="0"/>
            </w:pPr>
            <w:r>
              <w:rPr>
                <w:color w:val="1E2936"/>
                <w:sz w:val="18"/>
              </w:rPr>
              <w:t>Noise and over-counting</w:t>
            </w:r>
          </w:p>
        </w:tc>
      </w:tr>
      <w:tr>
        <w:trPr>
          <w:cantSplit/>
        </w:trPr>
        <w:tc>
          <w:tcPr>
            <w:tcW w:type="dxa" w:w="1900"/>
            <w:vAlign w:val="center"/>
            <w:tcMar>
              <w:top w:w="90" w:type="dxa"/>
              <w:start w:w="120" w:type="dxa"/>
              <w:bottom w:w="90" w:type="dxa"/>
              <w:end w:w="120" w:type="dxa"/>
            </w:tcMar>
          </w:tcPr>
          <w:p>
            <w:pPr>
              <w:spacing w:after="0"/>
            </w:pPr>
            <w:r>
              <w:rPr>
                <w:color w:val="1E2936"/>
                <w:sz w:val="18"/>
              </w:rPr>
              <w:t>Higher multiplier</w:t>
            </w:r>
          </w:p>
        </w:tc>
        <w:tc>
          <w:tcPr>
            <w:tcW w:type="dxa" w:w="3560"/>
            <w:vAlign w:val="center"/>
            <w:tcMar>
              <w:top w:w="90" w:type="dxa"/>
              <w:start w:w="120" w:type="dxa"/>
              <w:bottom w:w="90" w:type="dxa"/>
              <w:end w:w="120" w:type="dxa"/>
            </w:tcMar>
          </w:tcPr>
          <w:p>
            <w:pPr>
              <w:spacing w:after="0"/>
            </w:pPr>
            <w:r>
              <w:rPr>
                <w:color w:val="1E2936"/>
                <w:sz w:val="18"/>
              </w:rPr>
              <w:t>Fewer, larger swings</w:t>
            </w:r>
          </w:p>
        </w:tc>
        <w:tc>
          <w:tcPr>
            <w:tcW w:type="dxa" w:w="3900"/>
            <w:vAlign w:val="center"/>
            <w:tcMar>
              <w:top w:w="90" w:type="dxa"/>
              <w:start w:w="120" w:type="dxa"/>
              <w:bottom w:w="90" w:type="dxa"/>
              <w:end w:w="120" w:type="dxa"/>
            </w:tcMar>
          </w:tcPr>
          <w:p>
            <w:pPr>
              <w:spacing w:after="0"/>
            </w:pPr>
            <w:r>
              <w:rPr>
                <w:color w:val="1E2936"/>
                <w:sz w:val="18"/>
              </w:rPr>
              <w:t>Late recognition and missed smaller structures</w:t>
            </w:r>
          </w:p>
        </w:tc>
      </w:tr>
      <w:tr>
        <w:trPr>
          <w:cantSplit/>
        </w:trPr>
        <w:tc>
          <w:tcPr>
            <w:tcW w:type="dxa" w:w="1900"/>
            <w:vAlign w:val="center"/>
            <w:tcMar>
              <w:top w:w="90" w:type="dxa"/>
              <w:start w:w="120" w:type="dxa"/>
              <w:bottom w:w="90" w:type="dxa"/>
              <w:end w:w="120" w:type="dxa"/>
            </w:tcMar>
          </w:tcPr>
          <w:p>
            <w:pPr>
              <w:spacing w:after="0"/>
            </w:pPr>
            <w:r>
              <w:rPr>
                <w:color w:val="1E2936"/>
                <w:sz w:val="18"/>
              </w:rPr>
              <w:t>Shorter ATR period</w:t>
            </w:r>
          </w:p>
        </w:tc>
        <w:tc>
          <w:tcPr>
            <w:tcW w:type="dxa" w:w="3560"/>
            <w:vAlign w:val="center"/>
            <w:tcMar>
              <w:top w:w="90" w:type="dxa"/>
              <w:start w:w="120" w:type="dxa"/>
              <w:bottom w:w="90" w:type="dxa"/>
              <w:end w:w="120" w:type="dxa"/>
            </w:tcMar>
          </w:tcPr>
          <w:p>
            <w:pPr>
              <w:spacing w:after="0"/>
            </w:pPr>
            <w:r>
              <w:rPr>
                <w:color w:val="1E2936"/>
                <w:sz w:val="18"/>
              </w:rPr>
              <w:t>Threshold reacts faster to volatility</w:t>
            </w:r>
          </w:p>
        </w:tc>
        <w:tc>
          <w:tcPr>
            <w:tcW w:type="dxa" w:w="3900"/>
            <w:vAlign w:val="center"/>
            <w:tcMar>
              <w:top w:w="90" w:type="dxa"/>
              <w:start w:w="120" w:type="dxa"/>
              <w:bottom w:w="90" w:type="dxa"/>
              <w:end w:w="120" w:type="dxa"/>
            </w:tcMar>
          </w:tcPr>
          <w:p>
            <w:pPr>
              <w:spacing w:after="0"/>
            </w:pPr>
            <w:r>
              <w:rPr>
                <w:color w:val="1E2936"/>
                <w:sz w:val="18"/>
              </w:rPr>
              <w:t>Unstable behavior after isolated shocks</w:t>
            </w:r>
          </w:p>
        </w:tc>
      </w:tr>
      <w:tr>
        <w:trPr>
          <w:cantSplit/>
        </w:trPr>
        <w:tc>
          <w:tcPr>
            <w:tcW w:type="dxa" w:w="1900"/>
            <w:vAlign w:val="center"/>
            <w:tcMar>
              <w:top w:w="90" w:type="dxa"/>
              <w:start w:w="120" w:type="dxa"/>
              <w:bottom w:w="90" w:type="dxa"/>
              <w:end w:w="120" w:type="dxa"/>
            </w:tcMar>
          </w:tcPr>
          <w:p>
            <w:pPr>
              <w:spacing w:after="0"/>
            </w:pPr>
            <w:r>
              <w:rPr>
                <w:color w:val="1E2936"/>
                <w:sz w:val="18"/>
              </w:rPr>
              <w:t>Longer ATR period</w:t>
            </w:r>
          </w:p>
        </w:tc>
        <w:tc>
          <w:tcPr>
            <w:tcW w:type="dxa" w:w="3560"/>
            <w:vAlign w:val="center"/>
            <w:tcMar>
              <w:top w:w="90" w:type="dxa"/>
              <w:start w:w="120" w:type="dxa"/>
              <w:bottom w:w="90" w:type="dxa"/>
              <w:end w:w="120" w:type="dxa"/>
            </w:tcMar>
          </w:tcPr>
          <w:p>
            <w:pPr>
              <w:spacing w:after="0"/>
            </w:pPr>
            <w:r>
              <w:rPr>
                <w:color w:val="1E2936"/>
                <w:sz w:val="18"/>
              </w:rPr>
              <w:t>Smoother threshold</w:t>
            </w:r>
          </w:p>
        </w:tc>
        <w:tc>
          <w:tcPr>
            <w:tcW w:type="dxa" w:w="3900"/>
            <w:vAlign w:val="center"/>
            <w:tcMar>
              <w:top w:w="90" w:type="dxa"/>
              <w:start w:w="120" w:type="dxa"/>
              <w:bottom w:w="90" w:type="dxa"/>
              <w:end w:w="120" w:type="dxa"/>
            </w:tcMar>
          </w:tcPr>
          <w:p>
            <w:pPr>
              <w:spacing w:after="0"/>
            </w:pPr>
            <w:r>
              <w:rPr>
                <w:color w:val="1E2936"/>
                <w:sz w:val="18"/>
              </w:rPr>
              <w:t>Slow adaptation when volatility regime changes</w:t>
            </w:r>
          </w:p>
        </w:tc>
      </w:tr>
    </w:tbl>
    <w:p>
      <w:pPr>
        <w:spacing w:after="20"/>
      </w:pPr>
    </w:p>
    <w:p>
      <w:r>
        <w:br w:type="page"/>
      </w:r>
    </w:p>
    <w:p>
      <w:pPr>
        <w:pStyle w:val="Heading1"/>
      </w:pPr>
      <w:r>
        <w:t>Reading the terminal from top to bottom</w:t>
      </w:r>
    </w:p>
    <w:p>
      <w:pPr>
        <w:pStyle w:val="Heading2"/>
      </w:pPr>
      <w:r>
        <w:t>Market summary cards</w:t>
      </w:r>
    </w:p>
    <w:p>
      <w:pPr>
        <w:pStyle w:val="ListBullet"/>
      </w:pPr>
      <w:r>
        <w:t>LAST shows the most recent completed candle close and its one-bar percentage change.</w:t>
      </w:r>
    </w:p>
    <w:p>
      <w:pPr>
        <w:pStyle w:val="ListBullet"/>
      </w:pPr>
      <w:r>
        <w:t>TIMEFRAME confirms the active aggregation. Always verify it before interpreting labels.</w:t>
      </w:r>
    </w:p>
    <w:p>
      <w:pPr>
        <w:pStyle w:val="ListBullet"/>
      </w:pPr>
      <w:r>
        <w:t>VALID PATHS counts candidates after the current Pattern View and Candidate Scope filters.</w:t>
      </w:r>
    </w:p>
    <w:p>
      <w:pPr>
        <w:pStyle w:val="ListBullet"/>
      </w:pPr>
      <w:r>
        <w:t>DATA THROUGH states the timestamp of the final completed bar, in UTC.</w:t>
      </w:r>
    </w:p>
    <w:p>
      <w:pPr>
        <w:pStyle w:val="Heading2"/>
      </w:pPr>
      <w:r>
        <w:t>Legend and chart overlays</w:t>
      </w:r>
    </w:p>
    <w:tbl>
      <w:tblPr>
        <w:tblStyle w:val="TableGrid"/>
        <w:tblW w:type="auto" w:w="0"/>
        <w:jc w:val="left"/>
        <w:tblLayout w:type="fixed"/>
        <w:tblLook w:firstColumn="1" w:firstRow="1" w:lastColumn="0" w:lastRow="0" w:noHBand="0" w:noVBand="1" w:val="04A0"/>
      </w:tblPr>
      <w:tblGrid>
        <w:gridCol w:w="4939"/>
        <w:gridCol w:w="4939"/>
      </w:tblGrid>
      <w:tr>
        <w:trPr>
          <w:tblHeader w:val="true"/>
        </w:trPr>
        <w:tc>
          <w:tcPr>
            <w:tcW w:type="dxa" w:w="2600"/>
            <w:shd w:fill="E8EEF5"/>
            <w:vAlign w:val="center"/>
            <w:tcMar>
              <w:top w:w="90" w:type="dxa"/>
              <w:start w:w="120" w:type="dxa"/>
              <w:bottom w:w="90" w:type="dxa"/>
              <w:end w:w="120" w:type="dxa"/>
            </w:tcMar>
          </w:tcPr>
          <w:p>
            <w:r>
              <w:rPr>
                <w:b/>
                <w:color w:val="132238"/>
                <w:sz w:val="19"/>
              </w:rPr>
              <w:t>Visual</w:t>
            </w:r>
          </w:p>
        </w:tc>
        <w:tc>
          <w:tcPr>
            <w:tcW w:type="dxa" w:w="6760"/>
            <w:shd w:fill="E8EEF5"/>
            <w:vAlign w:val="center"/>
            <w:tcMar>
              <w:top w:w="90" w:type="dxa"/>
              <w:start w:w="120" w:type="dxa"/>
              <w:bottom w:w="90" w:type="dxa"/>
              <w:end w:w="120" w:type="dxa"/>
            </w:tcMar>
          </w:tcPr>
          <w:p>
            <w:r>
              <w:rPr>
                <w:b/>
                <w:color w:val="132238"/>
                <w:sz w:val="19"/>
              </w:rPr>
              <w:t>Interpretation</w:t>
            </w:r>
          </w:p>
        </w:tc>
      </w:tr>
      <w:tr>
        <w:trPr>
          <w:cantSplit/>
        </w:trPr>
        <w:tc>
          <w:tcPr>
            <w:tcW w:type="dxa" w:w="2600"/>
            <w:vAlign w:val="center"/>
            <w:tcMar>
              <w:top w:w="90" w:type="dxa"/>
              <w:start w:w="120" w:type="dxa"/>
              <w:bottom w:w="90" w:type="dxa"/>
              <w:end w:w="120" w:type="dxa"/>
            </w:tcMar>
          </w:tcPr>
          <w:p>
            <w:pPr>
              <w:spacing w:after="0"/>
            </w:pPr>
            <w:r>
              <w:rPr>
                <w:color w:val="1E2936"/>
                <w:sz w:val="18"/>
              </w:rPr>
              <w:t>Solid connected wave line</w:t>
            </w:r>
          </w:p>
        </w:tc>
        <w:tc>
          <w:tcPr>
            <w:tcW w:type="dxa" w:w="6760"/>
            <w:vAlign w:val="center"/>
            <w:tcMar>
              <w:top w:w="90" w:type="dxa"/>
              <w:start w:w="120" w:type="dxa"/>
              <w:bottom w:w="90" w:type="dxa"/>
              <w:end w:w="120" w:type="dxa"/>
            </w:tcMar>
          </w:tcPr>
          <w:p>
            <w:pPr>
              <w:spacing w:after="0"/>
            </w:pPr>
            <w:r>
              <w:rPr>
                <w:color w:val="1E2936"/>
                <w:sz w:val="18"/>
              </w:rPr>
              <w:t>Completed candidate structure.</w:t>
            </w:r>
          </w:p>
        </w:tc>
      </w:tr>
      <w:tr>
        <w:trPr>
          <w:cantSplit/>
        </w:trPr>
        <w:tc>
          <w:tcPr>
            <w:tcW w:type="dxa" w:w="2600"/>
            <w:vAlign w:val="center"/>
            <w:tcMar>
              <w:top w:w="90" w:type="dxa"/>
              <w:start w:w="120" w:type="dxa"/>
              <w:bottom w:w="90" w:type="dxa"/>
              <w:end w:w="120" w:type="dxa"/>
            </w:tcMar>
          </w:tcPr>
          <w:p>
            <w:pPr>
              <w:spacing w:after="0"/>
            </w:pPr>
            <w:r>
              <w:rPr>
                <w:color w:val="1E2936"/>
                <w:sz w:val="18"/>
              </w:rPr>
              <w:t>Dashed wave line</w:t>
            </w:r>
          </w:p>
        </w:tc>
        <w:tc>
          <w:tcPr>
            <w:tcW w:type="dxa" w:w="6760"/>
            <w:vAlign w:val="center"/>
            <w:tcMar>
              <w:top w:w="90" w:type="dxa"/>
              <w:start w:w="120" w:type="dxa"/>
              <w:bottom w:w="90" w:type="dxa"/>
              <w:end w:w="120" w:type="dxa"/>
            </w:tcMar>
          </w:tcPr>
          <w:p>
            <w:pPr>
              <w:spacing w:after="0"/>
            </w:pPr>
            <w:r>
              <w:rPr>
                <w:color w:val="1E2936"/>
                <w:sz w:val="18"/>
              </w:rPr>
              <w:t>Forming/provisional structure. Its terminal state is not fully confirmed.</w:t>
            </w:r>
          </w:p>
        </w:tc>
      </w:tr>
      <w:tr>
        <w:trPr>
          <w:cantSplit/>
        </w:trPr>
        <w:tc>
          <w:tcPr>
            <w:tcW w:type="dxa" w:w="2600"/>
            <w:vAlign w:val="center"/>
            <w:tcMar>
              <w:top w:w="90" w:type="dxa"/>
              <w:start w:w="120" w:type="dxa"/>
              <w:bottom w:w="90" w:type="dxa"/>
              <w:end w:w="120" w:type="dxa"/>
            </w:tcMar>
          </w:tcPr>
          <w:p>
            <w:pPr>
              <w:spacing w:after="0"/>
            </w:pPr>
            <w:r>
              <w:rPr>
                <w:color w:val="1E2936"/>
                <w:sz w:val="18"/>
              </w:rPr>
              <w:t>Green upward arrow</w:t>
            </w:r>
          </w:p>
        </w:tc>
        <w:tc>
          <w:tcPr>
            <w:tcW w:type="dxa" w:w="6760"/>
            <w:vAlign w:val="center"/>
            <w:tcMar>
              <w:top w:w="90" w:type="dxa"/>
              <w:start w:w="120" w:type="dxa"/>
              <w:bottom w:w="90" w:type="dxa"/>
              <w:end w:w="120" w:type="dxa"/>
            </w:tcMar>
          </w:tcPr>
          <w:p>
            <w:pPr>
              <w:spacing w:after="0"/>
            </w:pPr>
            <w:r>
              <w:rPr>
                <w:color w:val="1E2936"/>
                <w:sz w:val="18"/>
              </w:rPr>
              <w:t>Bullish EntryReady setup that passes the active confidence threshold.</w:t>
            </w:r>
          </w:p>
        </w:tc>
      </w:tr>
      <w:tr>
        <w:trPr>
          <w:cantSplit/>
        </w:trPr>
        <w:tc>
          <w:tcPr>
            <w:tcW w:type="dxa" w:w="2600"/>
            <w:vAlign w:val="center"/>
            <w:tcMar>
              <w:top w:w="90" w:type="dxa"/>
              <w:start w:w="120" w:type="dxa"/>
              <w:bottom w:w="90" w:type="dxa"/>
              <w:end w:w="120" w:type="dxa"/>
            </w:tcMar>
          </w:tcPr>
          <w:p>
            <w:pPr>
              <w:spacing w:after="0"/>
            </w:pPr>
            <w:r>
              <w:rPr>
                <w:color w:val="1E2936"/>
                <w:sz w:val="18"/>
              </w:rPr>
              <w:t>Red downward arrow</w:t>
            </w:r>
          </w:p>
        </w:tc>
        <w:tc>
          <w:tcPr>
            <w:tcW w:type="dxa" w:w="6760"/>
            <w:vAlign w:val="center"/>
            <w:tcMar>
              <w:top w:w="90" w:type="dxa"/>
              <w:start w:w="120" w:type="dxa"/>
              <w:bottom w:w="90" w:type="dxa"/>
              <w:end w:w="120" w:type="dxa"/>
            </w:tcMar>
          </w:tcPr>
          <w:p>
            <w:pPr>
              <w:spacing w:after="0"/>
            </w:pPr>
            <w:r>
              <w:rPr>
                <w:color w:val="1E2936"/>
                <w:sz w:val="18"/>
              </w:rPr>
              <w:t>Bearish EntryReady setup that passes the active confidence threshold.</w:t>
            </w:r>
          </w:p>
        </w:tc>
      </w:tr>
      <w:tr>
        <w:trPr>
          <w:cantSplit/>
        </w:trPr>
        <w:tc>
          <w:tcPr>
            <w:tcW w:type="dxa" w:w="2600"/>
            <w:vAlign w:val="center"/>
            <w:tcMar>
              <w:top w:w="90" w:type="dxa"/>
              <w:start w:w="120" w:type="dxa"/>
              <w:bottom w:w="90" w:type="dxa"/>
              <w:end w:w="120" w:type="dxa"/>
            </w:tcMar>
          </w:tcPr>
          <w:p>
            <w:pPr>
              <w:spacing w:after="0"/>
            </w:pPr>
            <w:r>
              <w:rPr>
                <w:color w:val="1E2936"/>
                <w:sz w:val="18"/>
              </w:rPr>
              <w:t>Start, 1-5, A-E labels</w:t>
            </w:r>
          </w:p>
        </w:tc>
        <w:tc>
          <w:tcPr>
            <w:tcW w:type="dxa" w:w="6760"/>
            <w:vAlign w:val="center"/>
            <w:tcMar>
              <w:top w:w="90" w:type="dxa"/>
              <w:start w:w="120" w:type="dxa"/>
              <w:bottom w:w="90" w:type="dxa"/>
              <w:end w:w="120" w:type="dxa"/>
            </w:tcMar>
          </w:tcPr>
          <w:p>
            <w:pPr>
              <w:spacing w:after="0"/>
            </w:pPr>
            <w:r>
              <w:rPr>
                <w:color w:val="1E2936"/>
                <w:sz w:val="18"/>
              </w:rPr>
              <w:t>Exact pivot coordinates used by the candidate; these are engine outputs, not manual drawings.</w:t>
            </w:r>
          </w:p>
        </w:tc>
      </w:tr>
      <w:tr>
        <w:trPr>
          <w:cantSplit/>
        </w:trPr>
        <w:tc>
          <w:tcPr>
            <w:tcW w:type="dxa" w:w="2600"/>
            <w:vAlign w:val="center"/>
            <w:tcMar>
              <w:top w:w="90" w:type="dxa"/>
              <w:start w:w="120" w:type="dxa"/>
              <w:bottom w:w="90" w:type="dxa"/>
              <w:end w:w="120" w:type="dxa"/>
            </w:tcMar>
          </w:tcPr>
          <w:p>
            <w:pPr>
              <w:spacing w:after="0"/>
            </w:pPr>
            <w:r>
              <w:rPr>
                <w:color w:val="1E2936"/>
                <w:sz w:val="18"/>
              </w:rPr>
              <w:t>RSI pane with 30/70 guides</w:t>
            </w:r>
          </w:p>
        </w:tc>
        <w:tc>
          <w:tcPr>
            <w:tcW w:type="dxa" w:w="6760"/>
            <w:vAlign w:val="center"/>
            <w:tcMar>
              <w:top w:w="90" w:type="dxa"/>
              <w:start w:w="120" w:type="dxa"/>
              <w:bottom w:w="90" w:type="dxa"/>
              <w:end w:w="120" w:type="dxa"/>
            </w:tcMar>
          </w:tcPr>
          <w:p>
            <w:pPr>
              <w:spacing w:after="0"/>
            </w:pPr>
            <w:r>
              <w:rPr>
                <w:color w:val="1E2936"/>
                <w:sz w:val="18"/>
              </w:rPr>
              <w:t>Causal Wilder RSI used for momentum scoring and divergence context.</w:t>
            </w:r>
          </w:p>
        </w:tc>
      </w:tr>
      <w:tr>
        <w:trPr>
          <w:cantSplit/>
        </w:trPr>
        <w:tc>
          <w:tcPr>
            <w:tcW w:type="dxa" w:w="2600"/>
            <w:vAlign w:val="center"/>
            <w:tcMar>
              <w:top w:w="90" w:type="dxa"/>
              <w:start w:w="120" w:type="dxa"/>
              <w:bottom w:w="90" w:type="dxa"/>
              <w:end w:w="120" w:type="dxa"/>
            </w:tcMar>
          </w:tcPr>
          <w:p>
            <w:pPr>
              <w:spacing w:after="0"/>
            </w:pPr>
            <w:r>
              <w:rPr>
                <w:color w:val="1E2936"/>
                <w:sz w:val="18"/>
              </w:rPr>
              <w:t>Red invalidation line</w:t>
            </w:r>
          </w:p>
        </w:tc>
        <w:tc>
          <w:tcPr>
            <w:tcW w:type="dxa" w:w="6760"/>
            <w:vAlign w:val="center"/>
            <w:tcMar>
              <w:top w:w="90" w:type="dxa"/>
              <w:start w:w="120" w:type="dxa"/>
              <w:bottom w:w="90" w:type="dxa"/>
              <w:end w:w="120" w:type="dxa"/>
            </w:tcMar>
          </w:tcPr>
          <w:p>
            <w:pPr>
              <w:spacing w:after="0"/>
            </w:pPr>
            <w:r>
              <w:rPr>
                <w:color w:val="1E2936"/>
                <w:sz w:val="18"/>
              </w:rPr>
              <w:t>Price boundary that breaks the active structural thesis.</w:t>
            </w:r>
          </w:p>
        </w:tc>
      </w:tr>
      <w:tr>
        <w:trPr>
          <w:cantSplit/>
        </w:trPr>
        <w:tc>
          <w:tcPr>
            <w:tcW w:type="dxa" w:w="2600"/>
            <w:vAlign w:val="center"/>
            <w:tcMar>
              <w:top w:w="90" w:type="dxa"/>
              <w:start w:w="120" w:type="dxa"/>
              <w:bottom w:w="90" w:type="dxa"/>
              <w:end w:w="120" w:type="dxa"/>
            </w:tcMar>
          </w:tcPr>
          <w:p>
            <w:pPr>
              <w:spacing w:after="0"/>
            </w:pPr>
            <w:r>
              <w:rPr>
                <w:color w:val="1E2936"/>
                <w:sz w:val="18"/>
              </w:rPr>
              <w:t>Green target zone lines</w:t>
            </w:r>
          </w:p>
        </w:tc>
        <w:tc>
          <w:tcPr>
            <w:tcW w:type="dxa" w:w="6760"/>
            <w:vAlign w:val="center"/>
            <w:tcMar>
              <w:top w:w="90" w:type="dxa"/>
              <w:start w:w="120" w:type="dxa"/>
              <w:bottom w:w="90" w:type="dxa"/>
              <w:end w:w="120" w:type="dxa"/>
            </w:tcMar>
          </w:tcPr>
          <w:p>
            <w:pPr>
              <w:spacing w:after="0"/>
            </w:pPr>
            <w:r>
              <w:rPr>
                <w:color w:val="1E2936"/>
                <w:sz w:val="18"/>
              </w:rPr>
              <w:t>Deterministic Fibonacci projection references, not guaranteed exits.</w:t>
            </w:r>
          </w:p>
        </w:tc>
      </w:tr>
    </w:tbl>
    <w:p>
      <w:pPr>
        <w:spacing w:after="20"/>
      </w:pPr>
    </w:p>
    <w:p>
      <w:pPr>
        <w:pStyle w:val="Heading2"/>
      </w:pPr>
      <w:r>
        <w:t>Marker threshold, Buy at, Sell at</w:t>
      </w:r>
    </w:p>
    <w:p>
      <w:r>
        <w:t>This strip explains why a chart arrow is present or absent. The terminal evaluates the enabled top alternatives. A marker requires all three gates: the overlay is enabled, the candidate ends at a tradeable Wave 4 or Wave B, and its Confidence Score is at least the Alert Confidence Score.</w:t>
      </w:r>
    </w:p>
    <w:tbl>
      <w:tblPr>
        <w:tblW w:type="auto" w:w="0"/>
        <w:jc w:val="left"/>
        <w:tblLayout w:type="fixed"/>
        <w:tblLook w:firstColumn="1" w:firstRow="1" w:lastColumn="0" w:lastRow="0" w:noHBand="0" w:noVBand="1" w:val="04A0"/>
      </w:tblPr>
      <w:tblGrid>
        <w:gridCol w:w="9878"/>
      </w:tblGrid>
      <w:tr>
        <w:tc>
          <w:tcPr>
            <w:tcW w:type="dxa" w:w="9360"/>
            <w:shd w:fill="F4F6F9"/>
            <w:tcMar>
              <w:top w:w="120" w:type="dxa"/>
              <w:start w:w="160" w:type="dxa"/>
              <w:bottom w:w="120" w:type="dxa"/>
              <w:end w:w="160" w:type="dxa"/>
            </w:tcMar>
          </w:tcPr>
          <w:p>
            <w:pPr>
              <w:spacing w:after="0"/>
            </w:pPr>
            <w:r>
              <w:rPr>
                <w:b/>
                <w:color w:val="1976A3"/>
              </w:rPr>
              <w:t xml:space="preserve">Example: </w:t>
            </w:r>
            <w:r>
              <w:rPr>
                <w:color w:val="1E2936"/>
              </w:rPr>
              <w:t>If the strip says 'Below threshold (62.5)' while the threshold is 75, the structure may be EntryReady but no arrow is supposed to appear. Lowering the threshold would change visibility, not structural validity.</w:t>
            </w:r>
          </w:p>
        </w:tc>
      </w:tr>
    </w:tbl>
    <w:p>
      <w:pPr>
        <w:spacing w:after="20"/>
      </w:pPr>
    </w:p>
    <w:p>
      <w:r>
        <w:br w:type="page"/>
      </w:r>
    </w:p>
    <w:p>
      <w:pPr>
        <w:pStyle w:val="Heading2"/>
      </w:pPr>
      <w:r>
        <w:t>Structure Inspector</w:t>
      </w:r>
    </w:p>
    <w:tbl>
      <w:tblPr>
        <w:tblStyle w:val="TableGrid"/>
        <w:tblW w:type="auto" w:w="0"/>
        <w:jc w:val="left"/>
        <w:tblLayout w:type="fixed"/>
        <w:tblLook w:firstColumn="1" w:firstRow="1" w:lastColumn="0" w:lastRow="0" w:noHBand="0" w:noVBand="1" w:val="04A0"/>
      </w:tblPr>
      <w:tblGrid>
        <w:gridCol w:w="4939"/>
        <w:gridCol w:w="4939"/>
      </w:tblGrid>
      <w:tr>
        <w:trPr>
          <w:tblHeader w:val="true"/>
        </w:trPr>
        <w:tc>
          <w:tcPr>
            <w:tcW w:type="dxa" w:w="2450"/>
            <w:shd w:fill="E8EEF5"/>
            <w:vAlign w:val="center"/>
            <w:tcMar>
              <w:top w:w="90" w:type="dxa"/>
              <w:start w:w="120" w:type="dxa"/>
              <w:bottom w:w="90" w:type="dxa"/>
              <w:end w:w="120" w:type="dxa"/>
            </w:tcMar>
          </w:tcPr>
          <w:p>
            <w:r>
              <w:rPr>
                <w:b/>
                <w:color w:val="132238"/>
                <w:sz w:val="19"/>
              </w:rPr>
              <w:t>Panel</w:t>
            </w:r>
          </w:p>
        </w:tc>
        <w:tc>
          <w:tcPr>
            <w:tcW w:type="dxa" w:w="6910"/>
            <w:shd w:fill="E8EEF5"/>
            <w:vAlign w:val="center"/>
            <w:tcMar>
              <w:top w:w="90" w:type="dxa"/>
              <w:start w:w="120" w:type="dxa"/>
              <w:bottom w:w="90" w:type="dxa"/>
              <w:end w:w="120" w:type="dxa"/>
            </w:tcMar>
          </w:tcPr>
          <w:p>
            <w:r>
              <w:rPr>
                <w:b/>
                <w:color w:val="132238"/>
                <w:sz w:val="19"/>
              </w:rPr>
              <w:t>What to verify</w:t>
            </w:r>
          </w:p>
        </w:tc>
      </w:tr>
      <w:tr>
        <w:trPr>
          <w:cantSplit/>
        </w:trPr>
        <w:tc>
          <w:tcPr>
            <w:tcW w:type="dxa" w:w="2450"/>
            <w:vAlign w:val="center"/>
            <w:tcMar>
              <w:top w:w="90" w:type="dxa"/>
              <w:start w:w="120" w:type="dxa"/>
              <w:bottom w:w="90" w:type="dxa"/>
              <w:end w:w="120" w:type="dxa"/>
            </w:tcMar>
          </w:tcPr>
          <w:p>
            <w:pPr>
              <w:spacing w:after="0"/>
            </w:pPr>
            <w:r>
              <w:rPr>
                <w:color w:val="1E2936"/>
                <w:sz w:val="18"/>
              </w:rPr>
              <w:t>Focused path</w:t>
            </w:r>
          </w:p>
        </w:tc>
        <w:tc>
          <w:tcPr>
            <w:tcW w:type="dxa" w:w="6910"/>
            <w:vAlign w:val="center"/>
            <w:tcMar>
              <w:top w:w="90" w:type="dxa"/>
              <w:start w:w="120" w:type="dxa"/>
              <w:bottom w:w="90" w:type="dxa"/>
              <w:end w:w="120" w:type="dxa"/>
            </w:tcMar>
          </w:tcPr>
          <w:p>
            <w:pPr>
              <w:spacing w:after="0"/>
            </w:pPr>
            <w:r>
              <w:rPr>
                <w:color w:val="1E2936"/>
                <w:sz w:val="18"/>
              </w:rPr>
              <w:t>Rank, pattern, stage, direction, and score of the selected top alternative.</w:t>
            </w:r>
          </w:p>
        </w:tc>
      </w:tr>
      <w:tr>
        <w:trPr>
          <w:cantSplit/>
        </w:trPr>
        <w:tc>
          <w:tcPr>
            <w:tcW w:type="dxa" w:w="2450"/>
            <w:vAlign w:val="center"/>
            <w:tcMar>
              <w:top w:w="90" w:type="dxa"/>
              <w:start w:w="120" w:type="dxa"/>
              <w:bottom w:w="90" w:type="dxa"/>
              <w:end w:w="120" w:type="dxa"/>
            </w:tcMar>
          </w:tcPr>
          <w:p>
            <w:pPr>
              <w:spacing w:after="0"/>
            </w:pPr>
            <w:r>
              <w:rPr>
                <w:color w:val="1E2936"/>
                <w:sz w:val="18"/>
              </w:rPr>
              <w:t>Alternative checkboxes</w:t>
            </w:r>
          </w:p>
        </w:tc>
        <w:tc>
          <w:tcPr>
            <w:tcW w:type="dxa" w:w="6910"/>
            <w:vAlign w:val="center"/>
            <w:tcMar>
              <w:top w:w="90" w:type="dxa"/>
              <w:start w:w="120" w:type="dxa"/>
              <w:bottom w:w="90" w:type="dxa"/>
              <w:end w:w="120" w:type="dxa"/>
            </w:tcMar>
          </w:tcPr>
          <w:p>
            <w:pPr>
              <w:spacing w:after="0"/>
            </w:pPr>
            <w:r>
              <w:rPr>
                <w:color w:val="1E2936"/>
                <w:sz w:val="18"/>
              </w:rPr>
              <w:t>Enable only the paths you want drawn and eligible for markers.</w:t>
            </w:r>
          </w:p>
        </w:tc>
      </w:tr>
      <w:tr>
        <w:trPr>
          <w:cantSplit/>
        </w:trPr>
        <w:tc>
          <w:tcPr>
            <w:tcW w:type="dxa" w:w="2450"/>
            <w:vAlign w:val="center"/>
            <w:tcMar>
              <w:top w:w="90" w:type="dxa"/>
              <w:start w:w="120" w:type="dxa"/>
              <w:bottom w:w="90" w:type="dxa"/>
              <w:end w:w="120" w:type="dxa"/>
            </w:tcMar>
          </w:tcPr>
          <w:p>
            <w:pPr>
              <w:spacing w:after="0"/>
            </w:pPr>
            <w:r>
              <w:rPr>
                <w:color w:val="1E2936"/>
                <w:sz w:val="18"/>
              </w:rPr>
              <w:t>Selected structure</w:t>
            </w:r>
          </w:p>
        </w:tc>
        <w:tc>
          <w:tcPr>
            <w:tcW w:type="dxa" w:w="6910"/>
            <w:vAlign w:val="center"/>
            <w:tcMar>
              <w:top w:w="90" w:type="dxa"/>
              <w:start w:w="120" w:type="dxa"/>
              <w:bottom w:w="90" w:type="dxa"/>
              <w:end w:w="120" w:type="dxa"/>
            </w:tcMar>
          </w:tcPr>
          <w:p>
            <w:pPr>
              <w:spacing w:after="0"/>
            </w:pPr>
            <w:r>
              <w:rPr>
                <w:color w:val="1E2936"/>
                <w:sz w:val="18"/>
              </w:rPr>
              <w:t>Pattern family, direction, stage, and current lifecycle.</w:t>
            </w:r>
          </w:p>
        </w:tc>
      </w:tr>
      <w:tr>
        <w:trPr>
          <w:cantSplit/>
        </w:trPr>
        <w:tc>
          <w:tcPr>
            <w:tcW w:type="dxa" w:w="2450"/>
            <w:vAlign w:val="center"/>
            <w:tcMar>
              <w:top w:w="90" w:type="dxa"/>
              <w:start w:w="120" w:type="dxa"/>
              <w:bottom w:w="90" w:type="dxa"/>
              <w:end w:w="120" w:type="dxa"/>
            </w:tcMar>
          </w:tcPr>
          <w:p>
            <w:pPr>
              <w:spacing w:after="0"/>
            </w:pPr>
            <w:r>
              <w:rPr>
                <w:color w:val="1E2936"/>
                <w:sz w:val="18"/>
              </w:rPr>
              <w:t>Confidence Score</w:t>
            </w:r>
          </w:p>
        </w:tc>
        <w:tc>
          <w:tcPr>
            <w:tcW w:type="dxa" w:w="6910"/>
            <w:vAlign w:val="center"/>
            <w:tcMar>
              <w:top w:w="90" w:type="dxa"/>
              <w:start w:w="120" w:type="dxa"/>
              <w:bottom w:w="90" w:type="dxa"/>
              <w:end w:w="120" w:type="dxa"/>
            </w:tcMar>
          </w:tcPr>
          <w:p>
            <w:pPr>
              <w:spacing w:after="0"/>
            </w:pPr>
            <w:r>
              <w:rPr>
                <w:color w:val="1E2936"/>
                <w:sz w:val="18"/>
              </w:rPr>
              <w:t>Guideline quality subject to maturity caps; never a probability.</w:t>
            </w:r>
          </w:p>
        </w:tc>
      </w:tr>
      <w:tr>
        <w:trPr>
          <w:cantSplit/>
        </w:trPr>
        <w:tc>
          <w:tcPr>
            <w:tcW w:type="dxa" w:w="2450"/>
            <w:vAlign w:val="center"/>
            <w:tcMar>
              <w:top w:w="90" w:type="dxa"/>
              <w:start w:w="120" w:type="dxa"/>
              <w:bottom w:w="90" w:type="dxa"/>
              <w:end w:w="120" w:type="dxa"/>
            </w:tcMar>
          </w:tcPr>
          <w:p>
            <w:pPr>
              <w:spacing w:after="0"/>
            </w:pPr>
            <w:r>
              <w:rPr>
                <w:color w:val="1E2936"/>
                <w:sz w:val="18"/>
              </w:rPr>
              <w:t>Floor/Ceiling invalidation</w:t>
            </w:r>
          </w:p>
        </w:tc>
        <w:tc>
          <w:tcPr>
            <w:tcW w:type="dxa" w:w="6910"/>
            <w:vAlign w:val="center"/>
            <w:tcMar>
              <w:top w:w="90" w:type="dxa"/>
              <w:start w:w="120" w:type="dxa"/>
              <w:bottom w:w="90" w:type="dxa"/>
              <w:end w:w="120" w:type="dxa"/>
            </w:tcMar>
          </w:tcPr>
          <w:p>
            <w:pPr>
              <w:spacing w:after="0"/>
            </w:pPr>
            <w:r>
              <w:rPr>
                <w:color w:val="1E2936"/>
                <w:sz w:val="18"/>
              </w:rPr>
              <w:t>Exact structural boundary. Floor applies to bullish; ceiling applies to bearish.</w:t>
            </w:r>
          </w:p>
        </w:tc>
      </w:tr>
      <w:tr>
        <w:trPr>
          <w:cantSplit/>
        </w:trPr>
        <w:tc>
          <w:tcPr>
            <w:tcW w:type="dxa" w:w="2450"/>
            <w:vAlign w:val="center"/>
            <w:tcMar>
              <w:top w:w="90" w:type="dxa"/>
              <w:start w:w="120" w:type="dxa"/>
              <w:bottom w:w="90" w:type="dxa"/>
              <w:end w:w="120" w:type="dxa"/>
            </w:tcMar>
          </w:tcPr>
          <w:p>
            <w:pPr>
              <w:spacing w:after="0"/>
            </w:pPr>
            <w:r>
              <w:rPr>
                <w:color w:val="1E2936"/>
                <w:sz w:val="18"/>
              </w:rPr>
              <w:t>Fibonacci target zone</w:t>
            </w:r>
          </w:p>
        </w:tc>
        <w:tc>
          <w:tcPr>
            <w:tcW w:type="dxa" w:w="6910"/>
            <w:vAlign w:val="center"/>
            <w:tcMar>
              <w:top w:w="90" w:type="dxa"/>
              <w:start w:w="120" w:type="dxa"/>
              <w:bottom w:w="90" w:type="dxa"/>
              <w:end w:w="120" w:type="dxa"/>
            </w:tcMar>
          </w:tcPr>
          <w:p>
            <w:pPr>
              <w:spacing w:after="0"/>
            </w:pPr>
            <w:r>
              <w:rPr>
                <w:color w:val="1E2936"/>
                <w:sz w:val="18"/>
              </w:rPr>
              <w:t>Projected price interval used for planning and scanner comparison.</w:t>
            </w:r>
          </w:p>
        </w:tc>
      </w:tr>
      <w:tr>
        <w:trPr>
          <w:cantSplit/>
        </w:trPr>
        <w:tc>
          <w:tcPr>
            <w:tcW w:type="dxa" w:w="2450"/>
            <w:vAlign w:val="center"/>
            <w:tcMar>
              <w:top w:w="90" w:type="dxa"/>
              <w:start w:w="120" w:type="dxa"/>
              <w:bottom w:w="90" w:type="dxa"/>
              <w:end w:w="120" w:type="dxa"/>
            </w:tcMar>
          </w:tcPr>
          <w:p>
            <w:pPr>
              <w:spacing w:after="0"/>
            </w:pPr>
            <w:r>
              <w:rPr>
                <w:color w:val="1E2936"/>
                <w:sz w:val="18"/>
              </w:rPr>
              <w:t>System Hints</w:t>
            </w:r>
          </w:p>
        </w:tc>
        <w:tc>
          <w:tcPr>
            <w:tcW w:type="dxa" w:w="6910"/>
            <w:vAlign w:val="center"/>
            <w:tcMar>
              <w:top w:w="90" w:type="dxa"/>
              <w:start w:w="120" w:type="dxa"/>
              <w:bottom w:w="90" w:type="dxa"/>
              <w:end w:w="120" w:type="dxa"/>
            </w:tcMar>
          </w:tcPr>
          <w:p>
            <w:pPr>
              <w:spacing w:after="0"/>
            </w:pPr>
            <w:r>
              <w:rPr>
                <w:color w:val="1E2936"/>
                <w:sz w:val="18"/>
              </w:rPr>
              <w:t>Plain-language gate status, next required event, and trading interpretation.</w:t>
            </w:r>
          </w:p>
        </w:tc>
      </w:tr>
      <w:tr>
        <w:trPr>
          <w:cantSplit/>
        </w:trPr>
        <w:tc>
          <w:tcPr>
            <w:tcW w:type="dxa" w:w="2450"/>
            <w:vAlign w:val="center"/>
            <w:tcMar>
              <w:top w:w="90" w:type="dxa"/>
              <w:start w:w="120" w:type="dxa"/>
              <w:bottom w:w="90" w:type="dxa"/>
              <w:end w:w="120" w:type="dxa"/>
            </w:tcMar>
          </w:tcPr>
          <w:p>
            <w:pPr>
              <w:spacing w:after="0"/>
            </w:pPr>
            <w:r>
              <w:rPr>
                <w:color w:val="1E2936"/>
                <w:sz w:val="18"/>
              </w:rPr>
              <w:t>Focus chart</w:t>
            </w:r>
          </w:p>
        </w:tc>
        <w:tc>
          <w:tcPr>
            <w:tcW w:type="dxa" w:w="6910"/>
            <w:vAlign w:val="center"/>
            <w:tcMar>
              <w:top w:w="90" w:type="dxa"/>
              <w:start w:w="120" w:type="dxa"/>
              <w:bottom w:w="90" w:type="dxa"/>
              <w:end w:w="120" w:type="dxa"/>
            </w:tcMar>
          </w:tcPr>
          <w:p>
            <w:pPr>
              <w:spacing w:after="0"/>
            </w:pPr>
            <w:r>
              <w:rPr>
                <w:color w:val="1E2936"/>
                <w:sz w:val="18"/>
              </w:rPr>
              <w:t>Zooms the visible history around the selected path; turn off for broader context.</w:t>
            </w:r>
          </w:p>
        </w:tc>
      </w:tr>
    </w:tbl>
    <w:p>
      <w:pPr>
        <w:spacing w:after="20"/>
      </w:pPr>
    </w:p>
    <w:p>
      <w:pPr>
        <w:pStyle w:val="Heading1"/>
      </w:pPr>
      <w:r>
        <w:t>Patterns supported by the engine</w:t>
      </w:r>
    </w:p>
    <w:p>
      <w:pPr>
        <w:pStyle w:val="Heading2"/>
      </w:pPr>
      <w:r>
        <w:t>Impulse: Start-1-2-3-4-5</w:t>
      </w:r>
    </w:p>
    <w:p>
      <w:r>
        <w:t>The standard impulse is directional and must satisfy hard structural rules. Wave 2 cannot retrace beyond the origin of Wave 1; Wave 3 must move beyond Wave 1 and cannot be the shortest motive wave; Wave 4 cannot fully retrace Wave 3 or enter Wave 1 territory; the standard policy requires Wave 5 to progress beyond Wave 3.</w:t>
      </w:r>
    </w:p>
    <w:tbl>
      <w:tblPr>
        <w:tblW w:type="auto" w:w="0"/>
        <w:jc w:val="left"/>
        <w:tblLayout w:type="fixed"/>
        <w:tblLook w:firstColumn="1" w:firstRow="1" w:lastColumn="0" w:lastRow="0" w:noHBand="0" w:noVBand="1" w:val="04A0"/>
      </w:tblPr>
      <w:tblGrid>
        <w:gridCol w:w="9878"/>
      </w:tblGrid>
      <w:tr>
        <w:tc>
          <w:tcPr>
            <w:tcW w:type="dxa" w:w="9360"/>
            <w:shd w:fill="F4F6F9"/>
            <w:tcMar>
              <w:top w:w="120" w:type="dxa"/>
              <w:start w:w="160" w:type="dxa"/>
              <w:bottom w:w="120" w:type="dxa"/>
              <w:end w:w="160" w:type="dxa"/>
            </w:tcMar>
          </w:tcPr>
          <w:p>
            <w:pPr>
              <w:spacing w:after="0"/>
            </w:pPr>
            <w:r>
              <w:rPr>
                <w:b/>
                <w:color w:val="168A62"/>
              </w:rPr>
              <w:t xml:space="preserve">Use: </w:t>
            </w:r>
            <w:r>
              <w:rPr>
                <w:color w:val="1E2936"/>
              </w:rPr>
              <w:t>An EntryReady impulse ends at Wave 4 and scouts the potential Wave 5 move.</w:t>
            </w:r>
          </w:p>
        </w:tc>
      </w:tr>
    </w:tbl>
    <w:p>
      <w:pPr>
        <w:spacing w:after="20"/>
      </w:pPr>
    </w:p>
    <w:p>
      <w:pPr>
        <w:pStyle w:val="Heading2"/>
      </w:pPr>
      <w:r>
        <w:t>ZigZag: Start-A-B-C</w:t>
      </w:r>
    </w:p>
    <w:p>
      <w:r>
        <w:t>A ZigZag is a sharp correction. Wave B remains below the Flat threshold and Wave C must travel in the correction direction beyond the Wave A extreme. An EntryReady ZigZag ends at Wave B and scouts Wave C.</w:t>
      </w:r>
    </w:p>
    <w:p>
      <w:pPr>
        <w:pStyle w:val="Heading2"/>
      </w:pPr>
      <w:r>
        <w:t>Flat: Start-A-B-C</w:t>
      </w:r>
    </w:p>
    <w:tbl>
      <w:tblPr>
        <w:tblStyle w:val="TableGrid"/>
        <w:tblW w:type="auto" w:w="0"/>
        <w:jc w:val="left"/>
        <w:tblLayout w:type="fixed"/>
        <w:tblLook w:firstColumn="1" w:firstRow="1" w:lastColumn="0" w:lastRow="0" w:noHBand="0" w:noVBand="1" w:val="04A0"/>
      </w:tblPr>
      <w:tblGrid>
        <w:gridCol w:w="4939"/>
        <w:gridCol w:w="4939"/>
      </w:tblGrid>
      <w:tr>
        <w:trPr>
          <w:tblHeader w:val="true"/>
        </w:trPr>
        <w:tc>
          <w:tcPr>
            <w:tcW w:type="dxa" w:w="2100"/>
            <w:shd w:fill="E8EEF5"/>
            <w:vAlign w:val="center"/>
            <w:tcMar>
              <w:top w:w="90" w:type="dxa"/>
              <w:start w:w="120" w:type="dxa"/>
              <w:bottom w:w="90" w:type="dxa"/>
              <w:end w:w="120" w:type="dxa"/>
            </w:tcMar>
          </w:tcPr>
          <w:p>
            <w:r>
              <w:rPr>
                <w:b/>
                <w:color w:val="132238"/>
                <w:sz w:val="19"/>
              </w:rPr>
              <w:t>Subtype</w:t>
            </w:r>
          </w:p>
        </w:tc>
        <w:tc>
          <w:tcPr>
            <w:tcW w:type="dxa" w:w="7260"/>
            <w:shd w:fill="E8EEF5"/>
            <w:vAlign w:val="center"/>
            <w:tcMar>
              <w:top w:w="90" w:type="dxa"/>
              <w:start w:w="120" w:type="dxa"/>
              <w:bottom w:w="90" w:type="dxa"/>
              <w:end w:w="120" w:type="dxa"/>
            </w:tcMar>
          </w:tcPr>
          <w:p>
            <w:r>
              <w:rPr>
                <w:b/>
                <w:color w:val="132238"/>
                <w:sz w:val="19"/>
              </w:rPr>
              <w:t>Deterministic classification</w:t>
            </w:r>
          </w:p>
        </w:tc>
      </w:tr>
      <w:tr>
        <w:trPr>
          <w:cantSplit/>
        </w:trPr>
        <w:tc>
          <w:tcPr>
            <w:tcW w:type="dxa" w:w="2100"/>
            <w:vAlign w:val="center"/>
            <w:tcMar>
              <w:top w:w="90" w:type="dxa"/>
              <w:start w:w="120" w:type="dxa"/>
              <w:bottom w:w="90" w:type="dxa"/>
              <w:end w:w="120" w:type="dxa"/>
            </w:tcMar>
          </w:tcPr>
          <w:p>
            <w:pPr>
              <w:spacing w:after="0"/>
            </w:pPr>
            <w:r>
              <w:rPr>
                <w:color w:val="1E2936"/>
                <w:sz w:val="18"/>
              </w:rPr>
              <w:t>Regular Flat</w:t>
            </w:r>
          </w:p>
        </w:tc>
        <w:tc>
          <w:tcPr>
            <w:tcW w:type="dxa" w:w="7260"/>
            <w:vAlign w:val="center"/>
            <w:tcMar>
              <w:top w:w="90" w:type="dxa"/>
              <w:start w:w="120" w:type="dxa"/>
              <w:bottom w:w="90" w:type="dxa"/>
              <w:end w:w="120" w:type="dxa"/>
            </w:tcMar>
          </w:tcPr>
          <w:p>
            <w:pPr>
              <w:spacing w:after="0"/>
            </w:pPr>
            <w:r>
              <w:rPr>
                <w:color w:val="1E2936"/>
                <w:sz w:val="18"/>
              </w:rPr>
              <w:t>Wave B retraces approximately 90%-100% of A; C reaches or exceeds the A extreme.</w:t>
            </w:r>
          </w:p>
        </w:tc>
      </w:tr>
      <w:tr>
        <w:trPr>
          <w:cantSplit/>
        </w:trPr>
        <w:tc>
          <w:tcPr>
            <w:tcW w:type="dxa" w:w="2100"/>
            <w:vAlign w:val="center"/>
            <w:tcMar>
              <w:top w:w="90" w:type="dxa"/>
              <w:start w:w="120" w:type="dxa"/>
              <w:bottom w:w="90" w:type="dxa"/>
              <w:end w:w="120" w:type="dxa"/>
            </w:tcMar>
          </w:tcPr>
          <w:p>
            <w:pPr>
              <w:spacing w:after="0"/>
            </w:pPr>
            <w:r>
              <w:rPr>
                <w:color w:val="1E2936"/>
                <w:sz w:val="18"/>
              </w:rPr>
              <w:t>Expanded Flat</w:t>
            </w:r>
          </w:p>
        </w:tc>
        <w:tc>
          <w:tcPr>
            <w:tcW w:type="dxa" w:w="7260"/>
            <w:vAlign w:val="center"/>
            <w:tcMar>
              <w:top w:w="90" w:type="dxa"/>
              <w:start w:w="120" w:type="dxa"/>
              <w:bottom w:w="90" w:type="dxa"/>
              <w:end w:w="120" w:type="dxa"/>
            </w:tcMar>
          </w:tcPr>
          <w:p>
            <w:pPr>
              <w:spacing w:after="0"/>
            </w:pPr>
            <w:r>
              <w:rPr>
                <w:color w:val="1E2936"/>
                <w:sz w:val="18"/>
              </w:rPr>
              <w:t>Wave B exceeds the A origin, within the configured extension bound; C reaches or exceeds A.</w:t>
            </w:r>
          </w:p>
        </w:tc>
      </w:tr>
      <w:tr>
        <w:trPr>
          <w:cantSplit/>
        </w:trPr>
        <w:tc>
          <w:tcPr>
            <w:tcW w:type="dxa" w:w="2100"/>
            <w:vAlign w:val="center"/>
            <w:tcMar>
              <w:top w:w="90" w:type="dxa"/>
              <w:start w:w="120" w:type="dxa"/>
              <w:bottom w:w="90" w:type="dxa"/>
              <w:end w:w="120" w:type="dxa"/>
            </w:tcMar>
          </w:tcPr>
          <w:p>
            <w:pPr>
              <w:spacing w:after="0"/>
            </w:pPr>
            <w:r>
              <w:rPr>
                <w:color w:val="1E2936"/>
                <w:sz w:val="18"/>
              </w:rPr>
              <w:t>Running Flat</w:t>
            </w:r>
          </w:p>
        </w:tc>
        <w:tc>
          <w:tcPr>
            <w:tcW w:type="dxa" w:w="7260"/>
            <w:vAlign w:val="center"/>
            <w:tcMar>
              <w:top w:w="90" w:type="dxa"/>
              <w:start w:w="120" w:type="dxa"/>
              <w:bottom w:w="90" w:type="dxa"/>
              <w:end w:w="120" w:type="dxa"/>
            </w:tcMar>
          </w:tcPr>
          <w:p>
            <w:pPr>
              <w:spacing w:after="0"/>
            </w:pPr>
            <w:r>
              <w:rPr>
                <w:color w:val="1E2936"/>
                <w:sz w:val="18"/>
              </w:rPr>
              <w:t>Wave B exceeds the A origin while C fails the A extreme but meets minimum progress.</w:t>
            </w:r>
          </w:p>
        </w:tc>
      </w:tr>
    </w:tbl>
    <w:p>
      <w:pPr>
        <w:spacing w:after="20"/>
      </w:pPr>
    </w:p>
    <w:p>
      <w:pPr>
        <w:pStyle w:val="Heading2"/>
      </w:pPr>
      <w:r>
        <w:t>Triangle: Start-A-B-C-D-E</w:t>
      </w:r>
    </w:p>
    <w:p>
      <w:r>
        <w:t>Triangles are five-leg corrective structures. The engine checks containment, AC/BD boundary geometry, contraction or barrier behavior, terminal E placement, and boundary convergence. It rejects expanding geometry under the current standard triangle policy.</w:t>
      </w:r>
    </w:p>
    <w:tbl>
      <w:tblPr>
        <w:tblW w:type="auto" w:w="0"/>
        <w:jc w:val="left"/>
        <w:tblLayout w:type="fixed"/>
        <w:tblLook w:firstColumn="1" w:firstRow="1" w:lastColumn="0" w:lastRow="0" w:noHBand="0" w:noVBand="1" w:val="04A0"/>
      </w:tblPr>
      <w:tblGrid>
        <w:gridCol w:w="9878"/>
      </w:tblGrid>
      <w:tr>
        <w:tc>
          <w:tcPr>
            <w:tcW w:type="dxa" w:w="9360"/>
            <w:shd w:fill="F4F6F9"/>
            <w:tcMar>
              <w:top w:w="120" w:type="dxa"/>
              <w:start w:w="160" w:type="dxa"/>
              <w:bottom w:w="120" w:type="dxa"/>
              <w:end w:w="160" w:type="dxa"/>
            </w:tcMar>
          </w:tcPr>
          <w:p>
            <w:pPr>
              <w:spacing w:after="0"/>
            </w:pPr>
            <w:r>
              <w:rPr>
                <w:b/>
                <w:color w:val="C43D4B"/>
              </w:rPr>
              <w:t xml:space="preserve">Hard rule versus guideline: </w:t>
            </w:r>
            <w:r>
              <w:rPr>
                <w:color w:val="1E2936"/>
              </w:rPr>
              <w:t>A hard-rule failure deletes the candidate. Fibonacci, RSI, alternation, and channeling can only change its score; they cannot rescue an invalid structure.</w:t>
            </w:r>
          </w:p>
        </w:tc>
      </w:tr>
    </w:tbl>
    <w:p>
      <w:pPr>
        <w:spacing w:after="20"/>
      </w:pPr>
    </w:p>
    <w:p>
      <w:pPr>
        <w:pStyle w:val="Heading2"/>
      </w:pPr>
      <w:r>
        <w:t>Stages and lifecycle are different</w:t>
      </w:r>
    </w:p>
    <w:tbl>
      <w:tblPr>
        <w:tblStyle w:val="TableGrid"/>
        <w:tblW w:type="auto" w:w="0"/>
        <w:jc w:val="left"/>
        <w:tblLayout w:type="fixed"/>
        <w:tblLook w:firstColumn="1" w:firstRow="1" w:lastColumn="0" w:lastRow="0" w:noHBand="0" w:noVBand="1" w:val="04A0"/>
      </w:tblPr>
      <w:tblGrid>
        <w:gridCol w:w="3293"/>
        <w:gridCol w:w="3293"/>
        <w:gridCol w:w="3293"/>
      </w:tblGrid>
      <w:tr>
        <w:trPr>
          <w:tblHeader w:val="true"/>
        </w:trPr>
        <w:tc>
          <w:tcPr>
            <w:tcW w:type="dxa" w:w="1500"/>
            <w:shd w:fill="E8EEF5"/>
            <w:vAlign w:val="center"/>
            <w:tcMar>
              <w:top w:w="90" w:type="dxa"/>
              <w:start w:w="120" w:type="dxa"/>
              <w:bottom w:w="90" w:type="dxa"/>
              <w:end w:w="120" w:type="dxa"/>
            </w:tcMar>
          </w:tcPr>
          <w:p>
            <w:r>
              <w:rPr>
                <w:b/>
                <w:color w:val="132238"/>
                <w:sz w:val="19"/>
              </w:rPr>
              <w:t>Field</w:t>
            </w:r>
          </w:p>
        </w:tc>
        <w:tc>
          <w:tcPr>
            <w:tcW w:type="dxa" w:w="4800"/>
            <w:shd w:fill="E8EEF5"/>
            <w:vAlign w:val="center"/>
            <w:tcMar>
              <w:top w:w="90" w:type="dxa"/>
              <w:start w:w="120" w:type="dxa"/>
              <w:bottom w:w="90" w:type="dxa"/>
              <w:end w:w="120" w:type="dxa"/>
            </w:tcMar>
          </w:tcPr>
          <w:p>
            <w:r>
              <w:rPr>
                <w:b/>
                <w:color w:val="132238"/>
                <w:sz w:val="19"/>
              </w:rPr>
              <w:t>Question answered</w:t>
            </w:r>
          </w:p>
        </w:tc>
        <w:tc>
          <w:tcPr>
            <w:tcW w:type="dxa" w:w="3060"/>
            <w:shd w:fill="E8EEF5"/>
            <w:vAlign w:val="center"/>
            <w:tcMar>
              <w:top w:w="90" w:type="dxa"/>
              <w:start w:w="120" w:type="dxa"/>
              <w:bottom w:w="90" w:type="dxa"/>
              <w:end w:w="120" w:type="dxa"/>
            </w:tcMar>
          </w:tcPr>
          <w:p>
            <w:r>
              <w:rPr>
                <w:b/>
                <w:color w:val="132238"/>
                <w:sz w:val="19"/>
              </w:rPr>
              <w:t>Typical values</w:t>
            </w:r>
          </w:p>
        </w:tc>
      </w:tr>
      <w:tr>
        <w:trPr>
          <w:cantSplit/>
        </w:trPr>
        <w:tc>
          <w:tcPr>
            <w:tcW w:type="dxa" w:w="1500"/>
            <w:vAlign w:val="center"/>
            <w:tcMar>
              <w:top w:w="90" w:type="dxa"/>
              <w:start w:w="120" w:type="dxa"/>
              <w:bottom w:w="90" w:type="dxa"/>
              <w:end w:w="120" w:type="dxa"/>
            </w:tcMar>
          </w:tcPr>
          <w:p>
            <w:pPr>
              <w:spacing w:after="0"/>
            </w:pPr>
            <w:r>
              <w:rPr>
                <w:color w:val="1E2936"/>
                <w:sz w:val="18"/>
              </w:rPr>
              <w:t>Stage</w:t>
            </w:r>
          </w:p>
        </w:tc>
        <w:tc>
          <w:tcPr>
            <w:tcW w:type="dxa" w:w="4800"/>
            <w:vAlign w:val="center"/>
            <w:tcMar>
              <w:top w:w="90" w:type="dxa"/>
              <w:start w:w="120" w:type="dxa"/>
              <w:bottom w:w="90" w:type="dxa"/>
              <w:end w:w="120" w:type="dxa"/>
            </w:tcMar>
          </w:tcPr>
          <w:p>
            <w:pPr>
              <w:spacing w:after="0"/>
            </w:pPr>
            <w:r>
              <w:rPr>
                <w:color w:val="1E2936"/>
                <w:sz w:val="18"/>
              </w:rPr>
              <w:t>How much of the wave sequence has the engine observed?</w:t>
            </w:r>
          </w:p>
        </w:tc>
        <w:tc>
          <w:tcPr>
            <w:tcW w:type="dxa" w:w="3060"/>
            <w:vAlign w:val="center"/>
            <w:tcMar>
              <w:top w:w="90" w:type="dxa"/>
              <w:start w:w="120" w:type="dxa"/>
              <w:bottom w:w="90" w:type="dxa"/>
              <w:end w:w="120" w:type="dxa"/>
            </w:tcMar>
          </w:tcPr>
          <w:p>
            <w:pPr>
              <w:spacing w:after="0"/>
            </w:pPr>
            <w:r>
              <w:rPr>
                <w:color w:val="1E2936"/>
                <w:sz w:val="18"/>
              </w:rPr>
              <w:t>Forming, EntryReady, Completed</w:t>
            </w:r>
          </w:p>
        </w:tc>
      </w:tr>
      <w:tr>
        <w:trPr>
          <w:cantSplit/>
        </w:trPr>
        <w:tc>
          <w:tcPr>
            <w:tcW w:type="dxa" w:w="1500"/>
            <w:vAlign w:val="center"/>
            <w:tcMar>
              <w:top w:w="90" w:type="dxa"/>
              <w:start w:w="120" w:type="dxa"/>
              <w:bottom w:w="90" w:type="dxa"/>
              <w:end w:w="120" w:type="dxa"/>
            </w:tcMar>
          </w:tcPr>
          <w:p>
            <w:pPr>
              <w:spacing w:after="0"/>
            </w:pPr>
            <w:r>
              <w:rPr>
                <w:color w:val="1E2936"/>
                <w:sz w:val="18"/>
              </w:rPr>
              <w:t>Lifecycle</w:t>
            </w:r>
          </w:p>
        </w:tc>
        <w:tc>
          <w:tcPr>
            <w:tcW w:type="dxa" w:w="4800"/>
            <w:vAlign w:val="center"/>
            <w:tcMar>
              <w:top w:w="90" w:type="dxa"/>
              <w:start w:w="120" w:type="dxa"/>
              <w:bottom w:w="90" w:type="dxa"/>
              <w:end w:w="120" w:type="dxa"/>
            </w:tcMar>
          </w:tcPr>
          <w:p>
            <w:pPr>
              <w:spacing w:after="0"/>
            </w:pPr>
            <w:r>
              <w:rPr>
                <w:color w:val="1E2936"/>
                <w:sz w:val="18"/>
              </w:rPr>
              <w:t>Is the setup still relevant at the latest price?</w:t>
            </w:r>
          </w:p>
        </w:tc>
        <w:tc>
          <w:tcPr>
            <w:tcW w:type="dxa" w:w="3060"/>
            <w:vAlign w:val="center"/>
            <w:tcMar>
              <w:top w:w="90" w:type="dxa"/>
              <w:start w:w="120" w:type="dxa"/>
              <w:bottom w:w="90" w:type="dxa"/>
              <w:end w:w="120" w:type="dxa"/>
            </w:tcMar>
          </w:tcPr>
          <w:p>
            <w:pPr>
              <w:spacing w:after="0"/>
            </w:pPr>
            <w:r>
              <w:rPr>
                <w:color w:val="1E2936"/>
                <w:sz w:val="18"/>
              </w:rPr>
              <w:t>Forming, Active, Target hit, Invalidated</w:t>
            </w:r>
          </w:p>
        </w:tc>
      </w:tr>
    </w:tbl>
    <w:p>
      <w:pPr>
        <w:spacing w:after="20"/>
      </w:pPr>
    </w:p>
    <w:p>
      <w:r>
        <w:br w:type="page"/>
      </w:r>
    </w:p>
    <w:p>
      <w:pPr>
        <w:pStyle w:val="Heading1"/>
      </w:pPr>
      <w:r>
        <w:t>Confidence Score and score audit</w:t>
      </w:r>
    </w:p>
    <w:p>
      <w:r>
        <w:t>The score is an auditable ranking out of 100. Completed candidates may use the full scale. Provisional candidates are maturity-capped so an incomplete structure cannot look as certain as a completed one.</w:t>
      </w:r>
    </w:p>
    <w:tbl>
      <w:tblPr>
        <w:tblStyle w:val="TableGrid"/>
        <w:tblW w:type="auto" w:w="0"/>
        <w:jc w:val="left"/>
        <w:tblLayout w:type="fixed"/>
        <w:tblLook w:firstColumn="1" w:firstRow="1" w:lastColumn="0" w:lastRow="0" w:noHBand="0" w:noVBand="1" w:val="04A0"/>
      </w:tblPr>
      <w:tblGrid>
        <w:gridCol w:w="3293"/>
        <w:gridCol w:w="3293"/>
        <w:gridCol w:w="3293"/>
      </w:tblGrid>
      <w:tr>
        <w:trPr>
          <w:tblHeader w:val="true"/>
        </w:trPr>
        <w:tc>
          <w:tcPr>
            <w:tcW w:type="dxa" w:w="2500"/>
            <w:shd w:fill="E8EEF5"/>
            <w:vAlign w:val="center"/>
            <w:tcMar>
              <w:top w:w="90" w:type="dxa"/>
              <w:start w:w="120" w:type="dxa"/>
              <w:bottom w:w="90" w:type="dxa"/>
              <w:end w:w="120" w:type="dxa"/>
            </w:tcMar>
          </w:tcPr>
          <w:p>
            <w:r>
              <w:rPr>
                <w:b/>
                <w:color w:val="132238"/>
                <w:sz w:val="19"/>
              </w:rPr>
              <w:t>Category</w:t>
            </w:r>
          </w:p>
        </w:tc>
        <w:tc>
          <w:tcPr>
            <w:tcW w:type="dxa" w:w="1300"/>
            <w:shd w:fill="E8EEF5"/>
            <w:vAlign w:val="center"/>
            <w:tcMar>
              <w:top w:w="90" w:type="dxa"/>
              <w:start w:w="120" w:type="dxa"/>
              <w:bottom w:w="90" w:type="dxa"/>
              <w:end w:w="120" w:type="dxa"/>
            </w:tcMar>
          </w:tcPr>
          <w:p>
            <w:r>
              <w:rPr>
                <w:b/>
                <w:color w:val="132238"/>
                <w:sz w:val="19"/>
              </w:rPr>
              <w:t>Maximum</w:t>
            </w:r>
          </w:p>
        </w:tc>
        <w:tc>
          <w:tcPr>
            <w:tcW w:type="dxa" w:w="5560"/>
            <w:shd w:fill="E8EEF5"/>
            <w:vAlign w:val="center"/>
            <w:tcMar>
              <w:top w:w="90" w:type="dxa"/>
              <w:start w:w="120" w:type="dxa"/>
              <w:bottom w:w="90" w:type="dxa"/>
              <w:end w:w="120" w:type="dxa"/>
            </w:tcMar>
          </w:tcPr>
          <w:p>
            <w:r>
              <w:rPr>
                <w:b/>
                <w:color w:val="132238"/>
                <w:sz w:val="19"/>
              </w:rPr>
              <w:t>Evidence considered</w:t>
            </w:r>
          </w:p>
        </w:tc>
      </w:tr>
      <w:tr>
        <w:trPr>
          <w:cantSplit/>
        </w:trPr>
        <w:tc>
          <w:tcPr>
            <w:tcW w:type="dxa" w:w="2500"/>
            <w:vAlign w:val="center"/>
            <w:tcMar>
              <w:top w:w="90" w:type="dxa"/>
              <w:start w:w="120" w:type="dxa"/>
              <w:bottom w:w="90" w:type="dxa"/>
              <w:end w:w="120" w:type="dxa"/>
            </w:tcMar>
          </w:tcPr>
          <w:p>
            <w:pPr>
              <w:spacing w:after="0"/>
            </w:pPr>
            <w:r>
              <w:rPr>
                <w:color w:val="1E2936"/>
                <w:sz w:val="18"/>
              </w:rPr>
              <w:t>Fibonacci alignment</w:t>
            </w:r>
          </w:p>
        </w:tc>
        <w:tc>
          <w:tcPr>
            <w:tcW w:type="dxa" w:w="1300"/>
            <w:vAlign w:val="center"/>
            <w:tcMar>
              <w:top w:w="90" w:type="dxa"/>
              <w:start w:w="120" w:type="dxa"/>
              <w:bottom w:w="90" w:type="dxa"/>
              <w:end w:w="120" w:type="dxa"/>
            </w:tcMar>
          </w:tcPr>
          <w:p>
            <w:pPr>
              <w:spacing w:after="0"/>
            </w:pPr>
            <w:r>
              <w:rPr>
                <w:color w:val="1E2936"/>
                <w:sz w:val="18"/>
              </w:rPr>
              <w:t>50</w:t>
            </w:r>
          </w:p>
        </w:tc>
        <w:tc>
          <w:tcPr>
            <w:tcW w:type="dxa" w:w="5560"/>
            <w:vAlign w:val="center"/>
            <w:tcMar>
              <w:top w:w="90" w:type="dxa"/>
              <w:start w:w="120" w:type="dxa"/>
              <w:bottom w:w="90" w:type="dxa"/>
              <w:end w:w="120" w:type="dxa"/>
            </w:tcMar>
          </w:tcPr>
          <w:p>
            <w:pPr>
              <w:spacing w:after="0"/>
            </w:pPr>
            <w:r>
              <w:rPr>
                <w:color w:val="1E2936"/>
                <w:sz w:val="18"/>
              </w:rPr>
              <w:t>Wave retracements, extensions, and pattern-specific ratios.</w:t>
            </w:r>
          </w:p>
        </w:tc>
      </w:tr>
      <w:tr>
        <w:trPr>
          <w:cantSplit/>
        </w:trPr>
        <w:tc>
          <w:tcPr>
            <w:tcW w:type="dxa" w:w="2500"/>
            <w:vAlign w:val="center"/>
            <w:tcMar>
              <w:top w:w="90" w:type="dxa"/>
              <w:start w:w="120" w:type="dxa"/>
              <w:bottom w:w="90" w:type="dxa"/>
              <w:end w:w="120" w:type="dxa"/>
            </w:tcMar>
          </w:tcPr>
          <w:p>
            <w:pPr>
              <w:spacing w:after="0"/>
            </w:pPr>
            <w:r>
              <w:rPr>
                <w:color w:val="1E2936"/>
                <w:sz w:val="18"/>
              </w:rPr>
              <w:t>Momentum verification</w:t>
            </w:r>
          </w:p>
        </w:tc>
        <w:tc>
          <w:tcPr>
            <w:tcW w:type="dxa" w:w="1300"/>
            <w:vAlign w:val="center"/>
            <w:tcMar>
              <w:top w:w="90" w:type="dxa"/>
              <w:start w:w="120" w:type="dxa"/>
              <w:bottom w:w="90" w:type="dxa"/>
              <w:end w:w="120" w:type="dxa"/>
            </w:tcMar>
          </w:tcPr>
          <w:p>
            <w:pPr>
              <w:spacing w:after="0"/>
            </w:pPr>
            <w:r>
              <w:rPr>
                <w:color w:val="1E2936"/>
                <w:sz w:val="18"/>
              </w:rPr>
              <w:t>30</w:t>
            </w:r>
          </w:p>
        </w:tc>
        <w:tc>
          <w:tcPr>
            <w:tcW w:type="dxa" w:w="5560"/>
            <w:vAlign w:val="center"/>
            <w:tcMar>
              <w:top w:w="90" w:type="dxa"/>
              <w:start w:w="120" w:type="dxa"/>
              <w:bottom w:w="90" w:type="dxa"/>
              <w:end w:w="120" w:type="dxa"/>
            </w:tcMar>
          </w:tcPr>
          <w:p>
            <w:pPr>
              <w:spacing w:after="0"/>
            </w:pPr>
            <w:r>
              <w:rPr>
                <w:color w:val="1E2936"/>
                <w:sz w:val="18"/>
              </w:rPr>
              <w:t>Causal Wilder RSI strength and Wave 3/Wave 5 momentum behavior.</w:t>
            </w:r>
          </w:p>
        </w:tc>
      </w:tr>
      <w:tr>
        <w:trPr>
          <w:cantSplit/>
        </w:trPr>
        <w:tc>
          <w:tcPr>
            <w:tcW w:type="dxa" w:w="2500"/>
            <w:vAlign w:val="center"/>
            <w:tcMar>
              <w:top w:w="90" w:type="dxa"/>
              <w:start w:w="120" w:type="dxa"/>
              <w:bottom w:w="90" w:type="dxa"/>
              <w:end w:w="120" w:type="dxa"/>
            </w:tcMar>
          </w:tcPr>
          <w:p>
            <w:pPr>
              <w:spacing w:after="0"/>
            </w:pPr>
            <w:r>
              <w:rPr>
                <w:color w:val="1E2936"/>
                <w:sz w:val="18"/>
              </w:rPr>
              <w:t>Channeling / alternation</w:t>
            </w:r>
          </w:p>
        </w:tc>
        <w:tc>
          <w:tcPr>
            <w:tcW w:type="dxa" w:w="1300"/>
            <w:vAlign w:val="center"/>
            <w:tcMar>
              <w:top w:w="90" w:type="dxa"/>
              <w:start w:w="120" w:type="dxa"/>
              <w:bottom w:w="90" w:type="dxa"/>
              <w:end w:w="120" w:type="dxa"/>
            </w:tcMar>
          </w:tcPr>
          <w:p>
            <w:pPr>
              <w:spacing w:after="0"/>
            </w:pPr>
            <w:r>
              <w:rPr>
                <w:color w:val="1E2936"/>
                <w:sz w:val="18"/>
              </w:rPr>
              <w:t>20</w:t>
            </w:r>
          </w:p>
        </w:tc>
        <w:tc>
          <w:tcPr>
            <w:tcW w:type="dxa" w:w="5560"/>
            <w:vAlign w:val="center"/>
            <w:tcMar>
              <w:top w:w="90" w:type="dxa"/>
              <w:start w:w="120" w:type="dxa"/>
              <w:bottom w:w="90" w:type="dxa"/>
              <w:end w:w="120" w:type="dxa"/>
            </w:tcMar>
          </w:tcPr>
          <w:p>
            <w:pPr>
              <w:spacing w:after="0"/>
            </w:pPr>
            <w:r>
              <w:rPr>
                <w:color w:val="1E2936"/>
                <w:sz w:val="18"/>
              </w:rPr>
              <w:t>Corrective depth/style contrast, duration symmetry, and geometry.</w:t>
            </w:r>
          </w:p>
        </w:tc>
      </w:tr>
    </w:tbl>
    <w:p>
      <w:pPr>
        <w:spacing w:after="20"/>
      </w:pPr>
    </w:p>
    <w:p>
      <w:pPr>
        <w:pStyle w:val="Heading2"/>
      </w:pPr>
      <w:r>
        <w:t>How to inspect a score</w:t>
      </w:r>
    </w:p>
    <w:p>
      <w:pPr>
        <w:pStyle w:val="ListNumber"/>
      </w:pPr>
      <w:r>
        <w:rPr>
          <w:b/>
        </w:rPr>
        <w:t xml:space="preserve">Open Score audit. </w:t>
      </w:r>
      <w:r>
        <w:t>Read every ScoreItem reason and earned/maximum value.</w:t>
      </w:r>
    </w:p>
    <w:p>
      <w:pPr>
        <w:pStyle w:val="ListNumber"/>
      </w:pPr>
      <w:r>
        <w:rPr>
          <w:b/>
        </w:rPr>
        <w:t xml:space="preserve">Identify concentration. </w:t>
      </w:r>
      <w:r>
        <w:t>A high total dominated by one category is less balanced than a score supported across categories.</w:t>
      </w:r>
    </w:p>
    <w:p>
      <w:pPr>
        <w:pStyle w:val="ListNumber"/>
      </w:pPr>
      <w:r>
        <w:rPr>
          <w:b/>
        </w:rPr>
        <w:t xml:space="preserve">Check stage cap. </w:t>
      </w:r>
      <w:r>
        <w:t>Forming candidates are intentionally capped below fully mature candidates.</w:t>
      </w:r>
    </w:p>
    <w:p>
      <w:pPr>
        <w:pStyle w:val="ListNumber"/>
      </w:pPr>
      <w:r>
        <w:rPr>
          <w:b/>
        </w:rPr>
        <w:t xml:space="preserve">Compare alternatives. </w:t>
      </w:r>
      <w:r>
        <w:t>A small score difference does not erase structural differences or risk/reward differences.</w:t>
      </w:r>
    </w:p>
    <w:p>
      <w:pPr>
        <w:pStyle w:val="ListNumber"/>
      </w:pPr>
      <w:r>
        <w:rPr>
          <w:b/>
        </w:rPr>
        <w:t xml:space="preserve">Retain the audit trail. </w:t>
      </w:r>
      <w:r>
        <w:t>Record the selected path, score breakdown, threshold, invalidation, and target at decision time.</w:t>
      </w:r>
    </w:p>
    <w:tbl>
      <w:tblPr>
        <w:tblW w:type="auto" w:w="0"/>
        <w:jc w:val="left"/>
        <w:tblLayout w:type="fixed"/>
        <w:tblLook w:firstColumn="1" w:firstRow="1" w:lastColumn="0" w:lastRow="0" w:noHBand="0" w:noVBand="1" w:val="04A0"/>
      </w:tblPr>
      <w:tblGrid>
        <w:gridCol w:w="9878"/>
      </w:tblGrid>
      <w:tr>
        <w:tc>
          <w:tcPr>
            <w:tcW w:type="dxa" w:w="9360"/>
            <w:shd w:fill="F4F6F9"/>
            <w:tcMar>
              <w:top w:w="120" w:type="dxa"/>
              <w:start w:w="160" w:type="dxa"/>
              <w:bottom w:w="120" w:type="dxa"/>
              <w:end w:w="160" w:type="dxa"/>
            </w:tcMar>
          </w:tcPr>
          <w:p>
            <w:pPr>
              <w:spacing w:after="0"/>
            </w:pPr>
            <w:r>
              <w:rPr>
                <w:b/>
                <w:color w:val="A97200"/>
              </w:rPr>
              <w:t xml:space="preserve">Threshold guidance: </w:t>
            </w:r>
            <w:r>
              <w:rPr>
                <w:color w:val="1E2936"/>
              </w:rPr>
              <w:t>The default 75 threshold is an operational filter, not a universal optimum. Change it only after walk-forward and sensitivity analysis, then keep it stable during live evaluation.</w:t>
            </w:r>
          </w:p>
        </w:tc>
      </w:tr>
    </w:tbl>
    <w:p>
      <w:pPr>
        <w:spacing w:after="20"/>
      </w:pPr>
    </w:p>
    <w:p>
      <w:pPr>
        <w:pStyle w:val="Heading2"/>
      </w:pPr>
      <w:r>
        <w:t>Interpreting System Hints</w:t>
      </w:r>
    </w:p>
    <w:tbl>
      <w:tblPr>
        <w:tblStyle w:val="TableGrid"/>
        <w:tblW w:type="auto" w:w="0"/>
        <w:jc w:val="left"/>
        <w:tblLayout w:type="fixed"/>
        <w:tblLook w:firstColumn="1" w:firstRow="1" w:lastColumn="0" w:lastRow="0" w:noHBand="0" w:noVBand="1" w:val="04A0"/>
      </w:tblPr>
      <w:tblGrid>
        <w:gridCol w:w="4939"/>
        <w:gridCol w:w="4939"/>
      </w:tblGrid>
      <w:tr>
        <w:trPr>
          <w:tblHeader w:val="true"/>
        </w:trPr>
        <w:tc>
          <w:tcPr>
            <w:tcW w:type="dxa" w:w="2350"/>
            <w:shd w:fill="E8EEF5"/>
            <w:vAlign w:val="center"/>
            <w:tcMar>
              <w:top w:w="90" w:type="dxa"/>
              <w:start w:w="120" w:type="dxa"/>
              <w:bottom w:w="90" w:type="dxa"/>
              <w:end w:w="120" w:type="dxa"/>
            </w:tcMar>
          </w:tcPr>
          <w:p>
            <w:r>
              <w:rPr>
                <w:b/>
                <w:color w:val="132238"/>
                <w:sz w:val="19"/>
              </w:rPr>
              <w:t>Hint row</w:t>
            </w:r>
          </w:p>
        </w:tc>
        <w:tc>
          <w:tcPr>
            <w:tcW w:type="dxa" w:w="7010"/>
            <w:shd w:fill="E8EEF5"/>
            <w:vAlign w:val="center"/>
            <w:tcMar>
              <w:top w:w="90" w:type="dxa"/>
              <w:start w:w="120" w:type="dxa"/>
              <w:bottom w:w="90" w:type="dxa"/>
              <w:end w:w="120" w:type="dxa"/>
            </w:tcMar>
          </w:tcPr>
          <w:p>
            <w:r>
              <w:rPr>
                <w:b/>
                <w:color w:val="132238"/>
                <w:sz w:val="19"/>
              </w:rPr>
              <w:t>Meaning</w:t>
            </w:r>
          </w:p>
        </w:tc>
      </w:tr>
      <w:tr>
        <w:trPr>
          <w:cantSplit/>
        </w:trPr>
        <w:tc>
          <w:tcPr>
            <w:tcW w:type="dxa" w:w="2350"/>
            <w:vAlign w:val="center"/>
            <w:tcMar>
              <w:top w:w="90" w:type="dxa"/>
              <w:start w:w="120" w:type="dxa"/>
              <w:bottom w:w="90" w:type="dxa"/>
              <w:end w:w="120" w:type="dxa"/>
            </w:tcMar>
          </w:tcPr>
          <w:p>
            <w:pPr>
              <w:spacing w:after="0"/>
            </w:pPr>
            <w:r>
              <w:rPr>
                <w:color w:val="1E2936"/>
                <w:sz w:val="18"/>
              </w:rPr>
              <w:t>Pattern state</w:t>
            </w:r>
          </w:p>
        </w:tc>
        <w:tc>
          <w:tcPr>
            <w:tcW w:type="dxa" w:w="7010"/>
            <w:vAlign w:val="center"/>
            <w:tcMar>
              <w:top w:w="90" w:type="dxa"/>
              <w:start w:w="120" w:type="dxa"/>
              <w:bottom w:w="90" w:type="dxa"/>
              <w:end w:w="120" w:type="dxa"/>
            </w:tcMar>
          </w:tcPr>
          <w:p>
            <w:pPr>
              <w:spacing w:after="0"/>
            </w:pPr>
            <w:r>
              <w:rPr>
                <w:color w:val="1E2936"/>
                <w:sz w:val="18"/>
              </w:rPr>
              <w:t>Pattern, direction, and terminal wave represented by the selected candidate.</w:t>
            </w:r>
          </w:p>
        </w:tc>
      </w:tr>
      <w:tr>
        <w:trPr>
          <w:cantSplit/>
        </w:trPr>
        <w:tc>
          <w:tcPr>
            <w:tcW w:type="dxa" w:w="2350"/>
            <w:vAlign w:val="center"/>
            <w:tcMar>
              <w:top w:w="90" w:type="dxa"/>
              <w:start w:w="120" w:type="dxa"/>
              <w:bottom w:w="90" w:type="dxa"/>
              <w:end w:w="120" w:type="dxa"/>
            </w:tcMar>
          </w:tcPr>
          <w:p>
            <w:pPr>
              <w:spacing w:after="0"/>
            </w:pPr>
            <w:r>
              <w:rPr>
                <w:color w:val="1E2936"/>
                <w:sz w:val="18"/>
              </w:rPr>
              <w:t>Confidence gate</w:t>
            </w:r>
          </w:p>
        </w:tc>
        <w:tc>
          <w:tcPr>
            <w:tcW w:type="dxa" w:w="7010"/>
            <w:vAlign w:val="center"/>
            <w:tcMar>
              <w:top w:w="90" w:type="dxa"/>
              <w:start w:w="120" w:type="dxa"/>
              <w:bottom w:w="90" w:type="dxa"/>
              <w:end w:w="120" w:type="dxa"/>
            </w:tcMar>
          </w:tcPr>
          <w:p>
            <w:pPr>
              <w:spacing w:after="0"/>
            </w:pPr>
            <w:r>
              <w:rPr>
                <w:color w:val="1E2936"/>
                <w:sz w:val="18"/>
              </w:rPr>
              <w:t>Pass/fail comparison against the active threshold.</w:t>
            </w:r>
          </w:p>
        </w:tc>
      </w:tr>
      <w:tr>
        <w:trPr>
          <w:cantSplit/>
        </w:trPr>
        <w:tc>
          <w:tcPr>
            <w:tcW w:type="dxa" w:w="2350"/>
            <w:vAlign w:val="center"/>
            <w:tcMar>
              <w:top w:w="90" w:type="dxa"/>
              <w:start w:w="120" w:type="dxa"/>
              <w:bottom w:w="90" w:type="dxa"/>
              <w:end w:w="120" w:type="dxa"/>
            </w:tcMar>
          </w:tcPr>
          <w:p>
            <w:pPr>
              <w:spacing w:after="0"/>
            </w:pPr>
            <w:r>
              <w:rPr>
                <w:color w:val="1E2936"/>
                <w:sz w:val="18"/>
              </w:rPr>
              <w:t>Lifecycle</w:t>
            </w:r>
          </w:p>
        </w:tc>
        <w:tc>
          <w:tcPr>
            <w:tcW w:type="dxa" w:w="7010"/>
            <w:vAlign w:val="center"/>
            <w:tcMar>
              <w:top w:w="90" w:type="dxa"/>
              <w:start w:w="120" w:type="dxa"/>
              <w:bottom w:w="90" w:type="dxa"/>
              <w:end w:w="120" w:type="dxa"/>
            </w:tcMar>
          </w:tcPr>
          <w:p>
            <w:pPr>
              <w:spacing w:after="0"/>
            </w:pPr>
            <w:r>
              <w:rPr>
                <w:color w:val="1E2936"/>
                <w:sz w:val="18"/>
              </w:rPr>
              <w:t>Whether current price still leaves the thesis active.</w:t>
            </w:r>
          </w:p>
        </w:tc>
      </w:tr>
      <w:tr>
        <w:trPr>
          <w:cantSplit/>
        </w:trPr>
        <w:tc>
          <w:tcPr>
            <w:tcW w:type="dxa" w:w="2350"/>
            <w:vAlign w:val="center"/>
            <w:tcMar>
              <w:top w:w="90" w:type="dxa"/>
              <w:start w:w="120" w:type="dxa"/>
              <w:bottom w:w="90" w:type="dxa"/>
              <w:end w:w="120" w:type="dxa"/>
            </w:tcMar>
          </w:tcPr>
          <w:p>
            <w:pPr>
              <w:spacing w:after="0"/>
            </w:pPr>
            <w:r>
              <w:rPr>
                <w:color w:val="1E2936"/>
                <w:sz w:val="18"/>
              </w:rPr>
              <w:t>Entry gate</w:t>
            </w:r>
          </w:p>
        </w:tc>
        <w:tc>
          <w:tcPr>
            <w:tcW w:type="dxa" w:w="7010"/>
            <w:vAlign w:val="center"/>
            <w:tcMar>
              <w:top w:w="90" w:type="dxa"/>
              <w:start w:w="120" w:type="dxa"/>
              <w:bottom w:w="90" w:type="dxa"/>
              <w:end w:w="120" w:type="dxa"/>
            </w:tcMar>
          </w:tcPr>
          <w:p>
            <w:pPr>
              <w:spacing w:after="0"/>
            </w:pPr>
            <w:r>
              <w:rPr>
                <w:color w:val="1E2936"/>
                <w:sz w:val="18"/>
              </w:rPr>
              <w:t>Whether a tradeable terminal Wave 4 or Wave B is present.</w:t>
            </w:r>
          </w:p>
        </w:tc>
      </w:tr>
      <w:tr>
        <w:trPr>
          <w:cantSplit/>
        </w:trPr>
        <w:tc>
          <w:tcPr>
            <w:tcW w:type="dxa" w:w="2350"/>
            <w:vAlign w:val="center"/>
            <w:tcMar>
              <w:top w:w="90" w:type="dxa"/>
              <w:start w:w="120" w:type="dxa"/>
              <w:bottom w:w="90" w:type="dxa"/>
              <w:end w:w="120" w:type="dxa"/>
            </w:tcMar>
          </w:tcPr>
          <w:p>
            <w:pPr>
              <w:spacing w:after="0"/>
            </w:pPr>
            <w:r>
              <w:rPr>
                <w:color w:val="1E2936"/>
                <w:sz w:val="18"/>
              </w:rPr>
              <w:t>Marker decision</w:t>
            </w:r>
          </w:p>
        </w:tc>
        <w:tc>
          <w:tcPr>
            <w:tcW w:type="dxa" w:w="7010"/>
            <w:vAlign w:val="center"/>
            <w:tcMar>
              <w:top w:w="90" w:type="dxa"/>
              <w:start w:w="120" w:type="dxa"/>
              <w:bottom w:w="90" w:type="dxa"/>
              <w:end w:w="120" w:type="dxa"/>
            </w:tcMar>
          </w:tcPr>
          <w:p>
            <w:pPr>
              <w:spacing w:after="0"/>
            </w:pPr>
            <w:r>
              <w:rPr>
                <w:color w:val="1E2936"/>
                <w:sz w:val="18"/>
              </w:rPr>
              <w:t>Exact reason an arrow is shown or hidden.</w:t>
            </w:r>
          </w:p>
        </w:tc>
      </w:tr>
      <w:tr>
        <w:trPr>
          <w:cantSplit/>
        </w:trPr>
        <w:tc>
          <w:tcPr>
            <w:tcW w:type="dxa" w:w="2350"/>
            <w:vAlign w:val="center"/>
            <w:tcMar>
              <w:top w:w="90" w:type="dxa"/>
              <w:start w:w="120" w:type="dxa"/>
              <w:bottom w:w="90" w:type="dxa"/>
              <w:end w:w="120" w:type="dxa"/>
            </w:tcMar>
          </w:tcPr>
          <w:p>
            <w:pPr>
              <w:spacing w:after="0"/>
            </w:pPr>
            <w:r>
              <w:rPr>
                <w:color w:val="1E2936"/>
                <w:sz w:val="18"/>
              </w:rPr>
              <w:t>Next required event</w:t>
            </w:r>
          </w:p>
        </w:tc>
        <w:tc>
          <w:tcPr>
            <w:tcW w:type="dxa" w:w="7010"/>
            <w:vAlign w:val="center"/>
            <w:tcMar>
              <w:top w:w="90" w:type="dxa"/>
              <w:start w:w="120" w:type="dxa"/>
              <w:bottom w:w="90" w:type="dxa"/>
              <w:end w:w="120" w:type="dxa"/>
            </w:tcMar>
          </w:tcPr>
          <w:p>
            <w:pPr>
              <w:spacing w:after="0"/>
            </w:pPr>
            <w:r>
              <w:rPr>
                <w:color w:val="1E2936"/>
                <w:sz w:val="18"/>
              </w:rPr>
              <w:t>What must occur before the setup advances.</w:t>
            </w:r>
          </w:p>
        </w:tc>
      </w:tr>
      <w:tr>
        <w:trPr>
          <w:cantSplit/>
        </w:trPr>
        <w:tc>
          <w:tcPr>
            <w:tcW w:type="dxa" w:w="2350"/>
            <w:vAlign w:val="center"/>
            <w:tcMar>
              <w:top w:w="90" w:type="dxa"/>
              <w:start w:w="120" w:type="dxa"/>
              <w:bottom w:w="90" w:type="dxa"/>
              <w:end w:w="120" w:type="dxa"/>
            </w:tcMar>
          </w:tcPr>
          <w:p>
            <w:pPr>
              <w:spacing w:after="0"/>
            </w:pPr>
            <w:r>
              <w:rPr>
                <w:color w:val="1E2936"/>
                <w:sz w:val="18"/>
              </w:rPr>
              <w:t>Trading interpretation</w:t>
            </w:r>
          </w:p>
        </w:tc>
        <w:tc>
          <w:tcPr>
            <w:tcW w:type="dxa" w:w="7010"/>
            <w:vAlign w:val="center"/>
            <w:tcMar>
              <w:top w:w="90" w:type="dxa"/>
              <w:start w:w="120" w:type="dxa"/>
              <w:bottom w:w="90" w:type="dxa"/>
              <w:end w:w="120" w:type="dxa"/>
            </w:tcMar>
          </w:tcPr>
          <w:p>
            <w:pPr>
              <w:spacing w:after="0"/>
            </w:pPr>
            <w:r>
              <w:rPr>
                <w:color w:val="1E2936"/>
                <w:sz w:val="18"/>
              </w:rPr>
              <w:t>Concise decision-support summary, not an order instruction.</w:t>
            </w:r>
          </w:p>
        </w:tc>
      </w:tr>
      <w:tr>
        <w:trPr>
          <w:cantSplit/>
        </w:trPr>
        <w:tc>
          <w:tcPr>
            <w:tcW w:type="dxa" w:w="2350"/>
            <w:vAlign w:val="center"/>
            <w:tcMar>
              <w:top w:w="90" w:type="dxa"/>
              <w:start w:w="120" w:type="dxa"/>
              <w:bottom w:w="90" w:type="dxa"/>
              <w:end w:w="120" w:type="dxa"/>
            </w:tcMar>
          </w:tcPr>
          <w:p>
            <w:pPr>
              <w:spacing w:after="0"/>
            </w:pPr>
            <w:r>
              <w:rPr>
                <w:color w:val="1E2936"/>
                <w:sz w:val="18"/>
              </w:rPr>
              <w:t>Invalidation reference</w:t>
            </w:r>
          </w:p>
        </w:tc>
        <w:tc>
          <w:tcPr>
            <w:tcW w:type="dxa" w:w="7010"/>
            <w:vAlign w:val="center"/>
            <w:tcMar>
              <w:top w:w="90" w:type="dxa"/>
              <w:start w:w="120" w:type="dxa"/>
              <w:bottom w:w="90" w:type="dxa"/>
              <w:end w:w="120" w:type="dxa"/>
            </w:tcMar>
          </w:tcPr>
          <w:p>
            <w:pPr>
              <w:spacing w:after="0"/>
            </w:pPr>
            <w:r>
              <w:rPr>
                <w:color w:val="1E2936"/>
                <w:sz w:val="18"/>
              </w:rPr>
              <w:t>Price and boundary direction that breaks the structure.</w:t>
            </w:r>
          </w:p>
        </w:tc>
      </w:tr>
      <w:tr>
        <w:trPr>
          <w:cantSplit/>
        </w:trPr>
        <w:tc>
          <w:tcPr>
            <w:tcW w:type="dxa" w:w="2350"/>
            <w:vAlign w:val="center"/>
            <w:tcMar>
              <w:top w:w="90" w:type="dxa"/>
              <w:start w:w="120" w:type="dxa"/>
              <w:bottom w:w="90" w:type="dxa"/>
              <w:end w:w="120" w:type="dxa"/>
            </w:tcMar>
          </w:tcPr>
          <w:p>
            <w:pPr>
              <w:spacing w:after="0"/>
            </w:pPr>
            <w:r>
              <w:rPr>
                <w:color w:val="1E2936"/>
                <w:sz w:val="18"/>
              </w:rPr>
              <w:t>Target zone</w:t>
            </w:r>
          </w:p>
        </w:tc>
        <w:tc>
          <w:tcPr>
            <w:tcW w:type="dxa" w:w="7010"/>
            <w:vAlign w:val="center"/>
            <w:tcMar>
              <w:top w:w="90" w:type="dxa"/>
              <w:start w:w="120" w:type="dxa"/>
              <w:bottom w:w="90" w:type="dxa"/>
              <w:end w:w="120" w:type="dxa"/>
            </w:tcMar>
          </w:tcPr>
          <w:p>
            <w:pPr>
              <w:spacing w:after="0"/>
            </w:pPr>
            <w:r>
              <w:rPr>
                <w:color w:val="1E2936"/>
                <w:sz w:val="18"/>
              </w:rPr>
              <w:t>Current Fibonacci projection interval.</w:t>
            </w:r>
          </w:p>
        </w:tc>
      </w:tr>
    </w:tbl>
    <w:p>
      <w:pPr>
        <w:spacing w:after="20"/>
      </w:pPr>
    </w:p>
    <w:p>
      <w:r>
        <w:br w:type="page"/>
      </w:r>
    </w:p>
    <w:p>
      <w:pPr>
        <w:pStyle w:val="Heading1"/>
      </w:pPr>
      <w:r>
        <w:t>Global Market Scanner</w:t>
      </w:r>
    </w:p>
    <w:p>
      <w:pPr>
        <w:jc w:val="center"/>
      </w:pPr>
      <w:r>
        <w:drawing>
          <wp:inline xmlns:a="http://schemas.openxmlformats.org/drawingml/2006/main" xmlns:pic="http://schemas.openxmlformats.org/drawingml/2006/picture">
            <wp:extent cx="6126480" cy="5248023"/>
            <wp:docPr id="3" name="Picture 3" descr="Global Market Scanner table ranked by Confidence Score across 25 markets and seven timeframes." title="Global Market Scanner table ranked by Confidence Score across 25 markets and seven timeframes."/>
            <wp:cNvGraphicFramePr>
              <a:graphicFrameLocks noChangeAspect="1"/>
            </wp:cNvGraphicFramePr>
            <a:graphic>
              <a:graphicData uri="http://schemas.openxmlformats.org/drawingml/2006/picture">
                <pic:pic>
                  <pic:nvPicPr>
                    <pic:cNvPr id="0" name="scanner-overview.png"/>
                    <pic:cNvPicPr/>
                  </pic:nvPicPr>
                  <pic:blipFill>
                    <a:blip r:embed="rId12"/>
                    <a:stretch>
                      <a:fillRect/>
                    </a:stretch>
                  </pic:blipFill>
                  <pic:spPr>
                    <a:xfrm>
                      <a:off x="0" y="0"/>
                      <a:ext cx="6126480" cy="5248023"/>
                    </a:xfrm>
                    <a:prstGeom prst="rect"/>
                  </pic:spPr>
                </pic:pic>
              </a:graphicData>
            </a:graphic>
          </wp:inline>
        </w:drawing>
      </w:r>
    </w:p>
    <w:p>
      <w:pPr>
        <w:jc w:val="center"/>
      </w:pPr>
      <w:r>
        <w:rPr>
          <w:i/>
          <w:color w:val="647184"/>
          <w:sz w:val="17"/>
        </w:rPr>
        <w:t>Figure 2. Scanner results after evaluating 25 markets across seven registered timeframes.</w:t>
      </w:r>
    </w:p>
    <w:p>
      <w:r>
        <w:t>The scanner runs the same pivot, engine, and scoring pipeline used by the chart. It includes Forming watch candidates and EntryReady Wave 4/B setups, filters out candidates whose lifecycle is no longer active, and sorts the result by Confidence Score.</w:t>
      </w:r>
    </w:p>
    <w:p>
      <w:pPr>
        <w:pStyle w:val="Heading2"/>
      </w:pPr>
      <w:r>
        <w:t>Scanner workflow</w:t>
      </w:r>
    </w:p>
    <w:p>
      <w:pPr>
        <w:pStyle w:val="ListNumber"/>
      </w:pPr>
      <w:r>
        <w:rPr>
          <w:b/>
        </w:rPr>
        <w:t xml:space="preserve">Set ATR parameters in the terminal. </w:t>
      </w:r>
      <w:r>
        <w:t>The scanner uses the active ATR period and multiplier.</w:t>
      </w:r>
    </w:p>
    <w:p>
      <w:pPr>
        <w:pStyle w:val="ListNumber"/>
      </w:pPr>
      <w:r>
        <w:rPr>
          <w:b/>
        </w:rPr>
        <w:t xml:space="preserve">Open Global Market Scanner. </w:t>
      </w:r>
      <w:r>
        <w:t>Confirm the universe line shows the expected market and timeframe counts.</w:t>
      </w:r>
    </w:p>
    <w:p>
      <w:pPr>
        <w:pStyle w:val="ListNumber"/>
      </w:pPr>
      <w:r>
        <w:rPr>
          <w:b/>
        </w:rPr>
        <w:t xml:space="preserve">Run market scan. </w:t>
      </w:r>
      <w:r>
        <w:t>Wait for the master table and active-setup count.</w:t>
      </w:r>
    </w:p>
    <w:p>
      <w:pPr>
        <w:pStyle w:val="ListNumber"/>
      </w:pPr>
      <w:r>
        <w:rPr>
          <w:b/>
        </w:rPr>
        <w:t xml:space="preserve">Prioritize EntryReady. </w:t>
      </w:r>
      <w:r>
        <w:t>Forming rows are watch candidates; EntryReady rows have the tradeable terminal pivot.</w:t>
      </w:r>
    </w:p>
    <w:p>
      <w:pPr>
        <w:pStyle w:val="ListNumber"/>
      </w:pPr>
      <w:r>
        <w:rPr>
          <w:b/>
        </w:rPr>
        <w:t xml:space="preserve">Compare direction and timeframe. </w:t>
      </w:r>
      <w:r>
        <w:t>Avoid treating correlated rows as independent opportunities.</w:t>
      </w:r>
    </w:p>
    <w:p>
      <w:pPr>
        <w:pStyle w:val="ListNumber"/>
      </w:pPr>
      <w:r>
        <w:rPr>
          <w:b/>
        </w:rPr>
        <w:t xml:space="preserve">Open the asset in Single Chart Terminal. </w:t>
      </w:r>
      <w:r>
        <w:t>Verify the path visually and inspect the full score audit and lifecycle.</w:t>
      </w:r>
    </w:p>
    <w:p>
      <w:pPr>
        <w:pStyle w:val="ListNumber"/>
      </w:pPr>
      <w:r>
        <w:rPr>
          <w:b/>
        </w:rPr>
        <w:t xml:space="preserve">Export if needed. </w:t>
      </w:r>
      <w:r>
        <w:t>Use the table CSV control for an offline review record.</w:t>
      </w:r>
    </w:p>
    <w:p>
      <w:pPr>
        <w:pStyle w:val="Heading2"/>
      </w:pPr>
      <w:r>
        <w:t>Scanner columns</w:t>
      </w:r>
    </w:p>
    <w:tbl>
      <w:tblPr>
        <w:tblStyle w:val="TableGrid"/>
        <w:tblW w:type="auto" w:w="0"/>
        <w:jc w:val="left"/>
        <w:tblLayout w:type="fixed"/>
        <w:tblLook w:firstColumn="1" w:firstRow="1" w:lastColumn="0" w:lastRow="0" w:noHBand="0" w:noVBand="1" w:val="04A0"/>
      </w:tblPr>
      <w:tblGrid>
        <w:gridCol w:w="4939"/>
        <w:gridCol w:w="4939"/>
      </w:tblGrid>
      <w:tr>
        <w:trPr>
          <w:tblHeader w:val="true"/>
        </w:trPr>
        <w:tc>
          <w:tcPr>
            <w:tcW w:type="dxa" w:w="2050"/>
            <w:shd w:fill="E8EEF5"/>
            <w:vAlign w:val="center"/>
            <w:tcMar>
              <w:top w:w="90" w:type="dxa"/>
              <w:start w:w="120" w:type="dxa"/>
              <w:bottom w:w="90" w:type="dxa"/>
              <w:end w:w="120" w:type="dxa"/>
            </w:tcMar>
          </w:tcPr>
          <w:p>
            <w:r>
              <w:rPr>
                <w:b/>
                <w:color w:val="132238"/>
                <w:sz w:val="19"/>
              </w:rPr>
              <w:t>Column</w:t>
            </w:r>
          </w:p>
        </w:tc>
        <w:tc>
          <w:tcPr>
            <w:tcW w:type="dxa" w:w="7310"/>
            <w:shd w:fill="E8EEF5"/>
            <w:vAlign w:val="center"/>
            <w:tcMar>
              <w:top w:w="90" w:type="dxa"/>
              <w:start w:w="120" w:type="dxa"/>
              <w:bottom w:w="90" w:type="dxa"/>
              <w:end w:w="120" w:type="dxa"/>
            </w:tcMar>
          </w:tcPr>
          <w:p>
            <w:r>
              <w:rPr>
                <w:b/>
                <w:color w:val="132238"/>
                <w:sz w:val="19"/>
              </w:rPr>
              <w:t>Interpretation</w:t>
            </w:r>
          </w:p>
        </w:tc>
      </w:tr>
      <w:tr>
        <w:trPr>
          <w:cantSplit/>
        </w:trPr>
        <w:tc>
          <w:tcPr>
            <w:tcW w:type="dxa" w:w="2050"/>
            <w:vAlign w:val="center"/>
            <w:tcMar>
              <w:top w:w="90" w:type="dxa"/>
              <w:start w:w="120" w:type="dxa"/>
              <w:bottom w:w="90" w:type="dxa"/>
              <w:end w:w="120" w:type="dxa"/>
            </w:tcMar>
          </w:tcPr>
          <w:p>
            <w:pPr>
              <w:spacing w:after="0"/>
            </w:pPr>
            <w:r>
              <w:rPr>
                <w:color w:val="1E2936"/>
                <w:sz w:val="18"/>
              </w:rPr>
              <w:t>Market</w:t>
            </w:r>
          </w:p>
        </w:tc>
        <w:tc>
          <w:tcPr>
            <w:tcW w:type="dxa" w:w="7310"/>
            <w:vAlign w:val="center"/>
            <w:tcMar>
              <w:top w:w="90" w:type="dxa"/>
              <w:start w:w="120" w:type="dxa"/>
              <w:bottom w:w="90" w:type="dxa"/>
              <w:end w:w="120" w:type="dxa"/>
            </w:tcMar>
          </w:tcPr>
          <w:p>
            <w:pPr>
              <w:spacing w:after="0"/>
            </w:pPr>
            <w:r>
              <w:rPr>
                <w:color w:val="1E2936"/>
                <w:sz w:val="18"/>
              </w:rPr>
              <w:t>Local asset database name.</w:t>
            </w:r>
          </w:p>
        </w:tc>
      </w:tr>
      <w:tr>
        <w:trPr>
          <w:cantSplit/>
        </w:trPr>
        <w:tc>
          <w:tcPr>
            <w:tcW w:type="dxa" w:w="2050"/>
            <w:vAlign w:val="center"/>
            <w:tcMar>
              <w:top w:w="90" w:type="dxa"/>
              <w:start w:w="120" w:type="dxa"/>
              <w:bottom w:w="90" w:type="dxa"/>
              <w:end w:w="120" w:type="dxa"/>
            </w:tcMar>
          </w:tcPr>
          <w:p>
            <w:pPr>
              <w:spacing w:after="0"/>
            </w:pPr>
            <w:r>
              <w:rPr>
                <w:color w:val="1E2936"/>
                <w:sz w:val="18"/>
              </w:rPr>
              <w:t>Timeframe</w:t>
            </w:r>
          </w:p>
        </w:tc>
        <w:tc>
          <w:tcPr>
            <w:tcW w:type="dxa" w:w="7310"/>
            <w:vAlign w:val="center"/>
            <w:tcMar>
              <w:top w:w="90" w:type="dxa"/>
              <w:start w:w="120" w:type="dxa"/>
              <w:bottom w:w="90" w:type="dxa"/>
              <w:end w:w="120" w:type="dxa"/>
            </w:tcMar>
          </w:tcPr>
          <w:p>
            <w:pPr>
              <w:spacing w:after="0"/>
            </w:pPr>
            <w:r>
              <w:rPr>
                <w:color w:val="1E2936"/>
                <w:sz w:val="18"/>
              </w:rPr>
              <w:t>Aggregation on which the candidate was detected.</w:t>
            </w:r>
          </w:p>
        </w:tc>
      </w:tr>
      <w:tr>
        <w:trPr>
          <w:cantSplit/>
        </w:trPr>
        <w:tc>
          <w:tcPr>
            <w:tcW w:type="dxa" w:w="2050"/>
            <w:vAlign w:val="center"/>
            <w:tcMar>
              <w:top w:w="90" w:type="dxa"/>
              <w:start w:w="120" w:type="dxa"/>
              <w:bottom w:w="90" w:type="dxa"/>
              <w:end w:w="120" w:type="dxa"/>
            </w:tcMar>
          </w:tcPr>
          <w:p>
            <w:pPr>
              <w:spacing w:after="0"/>
            </w:pPr>
            <w:r>
              <w:rPr>
                <w:color w:val="1E2936"/>
                <w:sz w:val="18"/>
              </w:rPr>
              <w:t>Pattern</w:t>
            </w:r>
          </w:p>
        </w:tc>
        <w:tc>
          <w:tcPr>
            <w:tcW w:type="dxa" w:w="7310"/>
            <w:vAlign w:val="center"/>
            <w:tcMar>
              <w:top w:w="90" w:type="dxa"/>
              <w:start w:w="120" w:type="dxa"/>
              <w:bottom w:w="90" w:type="dxa"/>
              <w:end w:w="120" w:type="dxa"/>
            </w:tcMar>
          </w:tcPr>
          <w:p>
            <w:pPr>
              <w:spacing w:after="0"/>
            </w:pPr>
            <w:r>
              <w:rPr>
                <w:color w:val="1E2936"/>
                <w:sz w:val="18"/>
              </w:rPr>
              <w:t>Impulse, ZigZag, Flat, or Triangle.</w:t>
            </w:r>
          </w:p>
        </w:tc>
      </w:tr>
      <w:tr>
        <w:trPr>
          <w:cantSplit/>
        </w:trPr>
        <w:tc>
          <w:tcPr>
            <w:tcW w:type="dxa" w:w="2050"/>
            <w:vAlign w:val="center"/>
            <w:tcMar>
              <w:top w:w="90" w:type="dxa"/>
              <w:start w:w="120" w:type="dxa"/>
              <w:bottom w:w="90" w:type="dxa"/>
              <w:end w:w="120" w:type="dxa"/>
            </w:tcMar>
          </w:tcPr>
          <w:p>
            <w:pPr>
              <w:spacing w:after="0"/>
            </w:pPr>
            <w:r>
              <w:rPr>
                <w:color w:val="1E2936"/>
                <w:sz w:val="18"/>
              </w:rPr>
              <w:t>Setup Stage</w:t>
            </w:r>
          </w:p>
        </w:tc>
        <w:tc>
          <w:tcPr>
            <w:tcW w:type="dxa" w:w="7310"/>
            <w:vAlign w:val="center"/>
            <w:tcMar>
              <w:top w:w="90" w:type="dxa"/>
              <w:start w:w="120" w:type="dxa"/>
              <w:bottom w:w="90" w:type="dxa"/>
              <w:end w:w="120" w:type="dxa"/>
            </w:tcMar>
          </w:tcPr>
          <w:p>
            <w:pPr>
              <w:spacing w:after="0"/>
            </w:pPr>
            <w:r>
              <w:rPr>
                <w:color w:val="1E2936"/>
                <w:sz w:val="18"/>
              </w:rPr>
              <w:t>Forming or EntryReady.</w:t>
            </w:r>
          </w:p>
        </w:tc>
      </w:tr>
      <w:tr>
        <w:trPr>
          <w:cantSplit/>
        </w:trPr>
        <w:tc>
          <w:tcPr>
            <w:tcW w:type="dxa" w:w="2050"/>
            <w:vAlign w:val="center"/>
            <w:tcMar>
              <w:top w:w="90" w:type="dxa"/>
              <w:start w:w="120" w:type="dxa"/>
              <w:bottom w:w="90" w:type="dxa"/>
              <w:end w:w="120" w:type="dxa"/>
            </w:tcMar>
          </w:tcPr>
          <w:p>
            <w:pPr>
              <w:spacing w:after="0"/>
            </w:pPr>
            <w:r>
              <w:rPr>
                <w:color w:val="1E2936"/>
                <w:sz w:val="18"/>
              </w:rPr>
              <w:t>Direction</w:t>
            </w:r>
          </w:p>
        </w:tc>
        <w:tc>
          <w:tcPr>
            <w:tcW w:type="dxa" w:w="7310"/>
            <w:vAlign w:val="center"/>
            <w:tcMar>
              <w:top w:w="90" w:type="dxa"/>
              <w:start w:w="120" w:type="dxa"/>
              <w:bottom w:w="90" w:type="dxa"/>
              <w:end w:w="120" w:type="dxa"/>
            </w:tcMar>
          </w:tcPr>
          <w:p>
            <w:pPr>
              <w:spacing w:after="0"/>
            </w:pPr>
            <w:r>
              <w:rPr>
                <w:color w:val="1E2936"/>
                <w:sz w:val="18"/>
              </w:rPr>
              <w:t>Expected direction of the next modeled leg.</w:t>
            </w:r>
          </w:p>
        </w:tc>
      </w:tr>
      <w:tr>
        <w:trPr>
          <w:cantSplit/>
        </w:trPr>
        <w:tc>
          <w:tcPr>
            <w:tcW w:type="dxa" w:w="2050"/>
            <w:vAlign w:val="center"/>
            <w:tcMar>
              <w:top w:w="90" w:type="dxa"/>
              <w:start w:w="120" w:type="dxa"/>
              <w:bottom w:w="90" w:type="dxa"/>
              <w:end w:w="120" w:type="dxa"/>
            </w:tcMar>
          </w:tcPr>
          <w:p>
            <w:pPr>
              <w:spacing w:after="0"/>
            </w:pPr>
            <w:r>
              <w:rPr>
                <w:color w:val="1E2936"/>
                <w:sz w:val="18"/>
              </w:rPr>
              <w:t>Confidence Score</w:t>
            </w:r>
          </w:p>
        </w:tc>
        <w:tc>
          <w:tcPr>
            <w:tcW w:type="dxa" w:w="7310"/>
            <w:vAlign w:val="center"/>
            <w:tcMar>
              <w:top w:w="90" w:type="dxa"/>
              <w:start w:w="120" w:type="dxa"/>
              <w:bottom w:w="90" w:type="dxa"/>
              <w:end w:w="120" w:type="dxa"/>
            </w:tcMar>
          </w:tcPr>
          <w:p>
            <w:pPr>
              <w:spacing w:after="0"/>
            </w:pPr>
            <w:r>
              <w:rPr>
                <w:color w:val="1E2936"/>
                <w:sz w:val="18"/>
              </w:rPr>
              <w:t>Deterministic rank after maturity cap.</w:t>
            </w:r>
          </w:p>
        </w:tc>
      </w:tr>
      <w:tr>
        <w:trPr>
          <w:cantSplit/>
        </w:trPr>
        <w:tc>
          <w:tcPr>
            <w:tcW w:type="dxa" w:w="2050"/>
            <w:vAlign w:val="center"/>
            <w:tcMar>
              <w:top w:w="90" w:type="dxa"/>
              <w:start w:w="120" w:type="dxa"/>
              <w:bottom w:w="90" w:type="dxa"/>
              <w:end w:w="120" w:type="dxa"/>
            </w:tcMar>
          </w:tcPr>
          <w:p>
            <w:pPr>
              <w:spacing w:after="0"/>
            </w:pPr>
            <w:r>
              <w:rPr>
                <w:color w:val="1E2936"/>
                <w:sz w:val="18"/>
              </w:rPr>
              <w:t>Invalidation Price</w:t>
            </w:r>
          </w:p>
        </w:tc>
        <w:tc>
          <w:tcPr>
            <w:tcW w:type="dxa" w:w="7310"/>
            <w:vAlign w:val="center"/>
            <w:tcMar>
              <w:top w:w="90" w:type="dxa"/>
              <w:start w:w="120" w:type="dxa"/>
              <w:bottom w:w="90" w:type="dxa"/>
              <w:end w:w="120" w:type="dxa"/>
            </w:tcMar>
          </w:tcPr>
          <w:p>
            <w:pPr>
              <w:spacing w:after="0"/>
            </w:pPr>
            <w:r>
              <w:rPr>
                <w:color w:val="1E2936"/>
                <w:sz w:val="18"/>
              </w:rPr>
              <w:t>Hard structural boundary.</w:t>
            </w:r>
          </w:p>
        </w:tc>
      </w:tr>
      <w:tr>
        <w:trPr>
          <w:cantSplit/>
        </w:trPr>
        <w:tc>
          <w:tcPr>
            <w:tcW w:type="dxa" w:w="2050"/>
            <w:vAlign w:val="center"/>
            <w:tcMar>
              <w:top w:w="90" w:type="dxa"/>
              <w:start w:w="120" w:type="dxa"/>
              <w:bottom w:w="90" w:type="dxa"/>
              <w:end w:w="120" w:type="dxa"/>
            </w:tcMar>
          </w:tcPr>
          <w:p>
            <w:pPr>
              <w:spacing w:after="0"/>
            </w:pPr>
            <w:r>
              <w:rPr>
                <w:color w:val="1E2936"/>
                <w:sz w:val="18"/>
              </w:rPr>
              <w:t>Fibonacci Target Zone</w:t>
            </w:r>
          </w:p>
        </w:tc>
        <w:tc>
          <w:tcPr>
            <w:tcW w:type="dxa" w:w="7310"/>
            <w:vAlign w:val="center"/>
            <w:tcMar>
              <w:top w:w="90" w:type="dxa"/>
              <w:start w:w="120" w:type="dxa"/>
              <w:bottom w:w="90" w:type="dxa"/>
              <w:end w:w="120" w:type="dxa"/>
            </w:tcMar>
          </w:tcPr>
          <w:p>
            <w:pPr>
              <w:spacing w:after="0"/>
            </w:pPr>
            <w:r>
              <w:rPr>
                <w:color w:val="1E2936"/>
                <w:sz w:val="18"/>
              </w:rPr>
              <w:t>Projected planning range.</w:t>
            </w:r>
          </w:p>
        </w:tc>
      </w:tr>
    </w:tbl>
    <w:p>
      <w:pPr>
        <w:spacing w:after="20"/>
      </w:pPr>
    </w:p>
    <w:tbl>
      <w:tblPr>
        <w:tblW w:type="auto" w:w="0"/>
        <w:jc w:val="left"/>
        <w:tblLayout w:type="fixed"/>
        <w:tblLook w:firstColumn="1" w:firstRow="1" w:lastColumn="0" w:lastRow="0" w:noHBand="0" w:noVBand="1" w:val="04A0"/>
      </w:tblPr>
      <w:tblGrid>
        <w:gridCol w:w="9878"/>
      </w:tblGrid>
      <w:tr>
        <w:tc>
          <w:tcPr>
            <w:tcW w:type="dxa" w:w="9360"/>
            <w:shd w:fill="F4F6F9"/>
            <w:tcMar>
              <w:top w:w="120" w:type="dxa"/>
              <w:start w:w="160" w:type="dxa"/>
              <w:bottom w:w="120" w:type="dxa"/>
              <w:end w:w="160" w:type="dxa"/>
            </w:tcMar>
          </w:tcPr>
          <w:p>
            <w:pPr>
              <w:spacing w:after="0"/>
            </w:pPr>
            <w:r>
              <w:rPr>
                <w:b/>
                <w:color w:val="C43D4B"/>
              </w:rPr>
              <w:t xml:space="preserve">Correlation: </w:t>
            </w:r>
            <w:r>
              <w:rPr>
                <w:color w:val="1E2936"/>
              </w:rPr>
              <w:t>Several rows can represent the same underlying exposure: for example NIFTY, NIFTY Bank, HDFC Bank, and ICICI Bank. Count portfolio risk, not scanner rows.</w:t>
            </w:r>
          </w:p>
        </w:tc>
      </w:tr>
    </w:tbl>
    <w:p>
      <w:pPr>
        <w:spacing w:after="20"/>
      </w:pPr>
    </w:p>
    <w:p>
      <w:r>
        <w:br w:type="page"/>
      </w:r>
    </w:p>
    <w:p>
      <w:pPr>
        <w:pStyle w:val="Heading1"/>
      </w:pPr>
      <w:r>
        <w:t>Alerts and operations</w:t>
      </w:r>
    </w:p>
    <w:p>
      <w:r>
        <w:t>Open Alerts &amp; operations below the chart. First select Configure Telegram credentials. The Bot Token and Chat ID boxes will then appear. Enter these details only when you need them. Keeping the boxes closed also stops Firefox from showing its password menu inside Structure Inspector.</w:t>
      </w:r>
    </w:p>
    <w:tbl>
      <w:tblPr>
        <w:tblW w:type="auto" w:w="0"/>
        <w:jc w:val="left"/>
        <w:tblLayout w:type="fixed"/>
        <w:tblLook w:firstColumn="1" w:firstRow="1" w:lastColumn="0" w:lastRow="0" w:noHBand="0" w:noVBand="1" w:val="04A0"/>
      </w:tblPr>
      <w:tblGrid>
        <w:gridCol w:w="9878"/>
      </w:tblGrid>
      <w:tr>
        <w:tc>
          <w:tcPr>
            <w:tcW w:type="dxa" w:w="9360"/>
            <w:shd w:fill="F4F6F9"/>
            <w:tcMar>
              <w:top w:w="120" w:type="dxa"/>
              <w:start w:w="160" w:type="dxa"/>
              <w:bottom w:w="120" w:type="dxa"/>
              <w:end w:w="160" w:type="dxa"/>
            </w:tcMar>
          </w:tcPr>
          <w:p>
            <w:pPr>
              <w:spacing w:after="0"/>
            </w:pPr>
            <w:r>
              <w:rPr>
                <w:b/>
                <w:color w:val="A97200"/>
              </w:rPr>
              <w:t xml:space="preserve">Current limitation: </w:t>
            </w:r>
            <w:r>
              <w:rPr>
                <w:color w:val="1E2936"/>
              </w:rPr>
              <w:t>The current webhook shell logs a clean alert message but does not send a network request. Treat it as an integration template until a live provider and secure notification service are connected.</w:t>
            </w:r>
          </w:p>
        </w:tc>
      </w:tr>
    </w:tbl>
    <w:p>
      <w:pPr>
        <w:spacing w:after="20"/>
      </w:pPr>
    </w:p>
    <w:p>
      <w:pPr>
        <w:pStyle w:val="Heading2"/>
      </w:pPr>
      <w:r>
        <w:t>When an alert is eligible</w:t>
      </w:r>
    </w:p>
    <w:p>
      <w:pPr>
        <w:pStyle w:val="ListBullet"/>
      </w:pPr>
      <w:r>
        <w:t>The candidate is an active, tradeable Wave 4 or Wave B setup.</w:t>
      </w:r>
    </w:p>
    <w:p>
      <w:pPr>
        <w:pStyle w:val="ListBullet"/>
      </w:pPr>
      <w:r>
        <w:t>Its Confidence Score meets or exceeds the selected threshold.</w:t>
      </w:r>
    </w:p>
    <w:p>
      <w:pPr>
        <w:pStyle w:val="ListBullet"/>
      </w:pPr>
      <w:r>
        <w:t>The candidate has not already produced the same alert key in the current session.</w:t>
      </w:r>
    </w:p>
    <w:p>
      <w:pPr>
        <w:pStyle w:val="Heading1"/>
      </w:pPr>
      <w:r>
        <w:t>Data freshness and refresh procedure</w:t>
      </w:r>
    </w:p>
    <w:p>
      <w:r>
        <w:t>All analysis reads provider-neutral SQLite databases containing canonical M5 candles. Higher timeframes are generated on demand, which avoids synchronization drift. The current test universe can be refreshed from Yahoo Finance with:</w:t>
      </w:r>
    </w:p>
    <w:p>
      <w:pPr>
        <w:pStyle w:val="IntenseQuote"/>
      </w:pPr>
      <w:r>
        <w:rPr>
          <w:rFonts w:ascii="Consolas" w:hAnsi="Consolas"/>
          <w:sz w:val="20"/>
        </w:rPr>
        <w:t>python market_data.py --period 60d</w:t>
      </w:r>
    </w:p>
    <w:p>
      <w:r>
        <w:t>Yahoo Finance is a temporary, credential-free test source. Intraday retention and candle completeness are limited. Production use should replace only the adapter, not the database or analytical contracts.</w:t>
      </w:r>
    </w:p>
    <w:tbl>
      <w:tblPr>
        <w:tblStyle w:val="TableGrid"/>
        <w:tblW w:type="auto" w:w="0"/>
        <w:jc w:val="left"/>
        <w:tblLayout w:type="fixed"/>
        <w:tblLook w:firstColumn="1" w:firstRow="1" w:lastColumn="0" w:lastRow="0" w:noHBand="0" w:noVBand="1" w:val="04A0"/>
      </w:tblPr>
      <w:tblGrid>
        <w:gridCol w:w="3293"/>
        <w:gridCol w:w="3293"/>
        <w:gridCol w:w="3293"/>
      </w:tblGrid>
      <w:tr>
        <w:trPr>
          <w:tblHeader w:val="true"/>
        </w:trPr>
        <w:tc>
          <w:tcPr>
            <w:tcW w:type="dxa" w:w="1800"/>
            <w:shd w:fill="E8EEF5"/>
            <w:vAlign w:val="center"/>
            <w:tcMar>
              <w:top w:w="90" w:type="dxa"/>
              <w:start w:w="120" w:type="dxa"/>
              <w:bottom w:w="90" w:type="dxa"/>
              <w:end w:w="120" w:type="dxa"/>
            </w:tcMar>
          </w:tcPr>
          <w:p>
            <w:r>
              <w:rPr>
                <w:b/>
                <w:color w:val="132238"/>
                <w:sz w:val="19"/>
              </w:rPr>
              <w:t>Profile</w:t>
            </w:r>
          </w:p>
        </w:tc>
        <w:tc>
          <w:tcPr>
            <w:tcW w:type="dxa" w:w="2800"/>
            <w:shd w:fill="E8EEF5"/>
            <w:vAlign w:val="center"/>
            <w:tcMar>
              <w:top w:w="90" w:type="dxa"/>
              <w:start w:w="120" w:type="dxa"/>
              <w:bottom w:w="90" w:type="dxa"/>
              <w:end w:w="120" w:type="dxa"/>
            </w:tcMar>
          </w:tcPr>
          <w:p>
            <w:r>
              <w:rPr>
                <w:b/>
                <w:color w:val="132238"/>
                <w:sz w:val="19"/>
              </w:rPr>
              <w:t>Examples</w:t>
            </w:r>
          </w:p>
        </w:tc>
        <w:tc>
          <w:tcPr>
            <w:tcW w:type="dxa" w:w="4760"/>
            <w:shd w:fill="E8EEF5"/>
            <w:vAlign w:val="center"/>
            <w:tcMar>
              <w:top w:w="90" w:type="dxa"/>
              <w:start w:w="120" w:type="dxa"/>
              <w:bottom w:w="90" w:type="dxa"/>
              <w:end w:w="120" w:type="dxa"/>
            </w:tcMar>
          </w:tcPr>
          <w:p>
            <w:r>
              <w:rPr>
                <w:b/>
                <w:color w:val="132238"/>
                <w:sz w:val="19"/>
              </w:rPr>
              <w:t>Calendar handling</w:t>
            </w:r>
          </w:p>
        </w:tc>
      </w:tr>
      <w:tr>
        <w:trPr>
          <w:cantSplit/>
        </w:trPr>
        <w:tc>
          <w:tcPr>
            <w:tcW w:type="dxa" w:w="1800"/>
            <w:vAlign w:val="center"/>
            <w:tcMar>
              <w:top w:w="90" w:type="dxa"/>
              <w:start w:w="120" w:type="dxa"/>
              <w:bottom w:w="90" w:type="dxa"/>
              <w:end w:w="120" w:type="dxa"/>
            </w:tcMar>
          </w:tcPr>
          <w:p>
            <w:pPr>
              <w:spacing w:after="0"/>
            </w:pPr>
            <w:r>
              <w:rPr>
                <w:color w:val="1E2936"/>
                <w:sz w:val="18"/>
              </w:rPr>
              <w:t>NSE</w:t>
            </w:r>
          </w:p>
        </w:tc>
        <w:tc>
          <w:tcPr>
            <w:tcW w:type="dxa" w:w="2800"/>
            <w:vAlign w:val="center"/>
            <w:tcMar>
              <w:top w:w="90" w:type="dxa"/>
              <w:start w:w="120" w:type="dxa"/>
              <w:bottom w:w="90" w:type="dxa"/>
              <w:end w:w="120" w:type="dxa"/>
            </w:tcMar>
          </w:tcPr>
          <w:p>
            <w:pPr>
              <w:spacing w:after="0"/>
            </w:pPr>
            <w:r>
              <w:rPr>
                <w:color w:val="1E2936"/>
                <w:sz w:val="18"/>
              </w:rPr>
              <w:t>NIFTY, Indian equities</w:t>
            </w:r>
          </w:p>
        </w:tc>
        <w:tc>
          <w:tcPr>
            <w:tcW w:type="dxa" w:w="4760"/>
            <w:vAlign w:val="center"/>
            <w:tcMar>
              <w:top w:w="90" w:type="dxa"/>
              <w:start w:w="120" w:type="dxa"/>
              <w:bottom w:w="90" w:type="dxa"/>
              <w:end w:w="120" w:type="dxa"/>
            </w:tcMar>
          </w:tcPr>
          <w:p>
            <w:pPr>
              <w:spacing w:after="0"/>
            </w:pPr>
            <w:r>
              <w:rPr>
                <w:color w:val="1E2936"/>
                <w:sz w:val="18"/>
              </w:rPr>
              <w:t>Asia/Kolkata 09:15-15:30 sessions</w:t>
            </w:r>
          </w:p>
        </w:tc>
      </w:tr>
      <w:tr>
        <w:trPr>
          <w:cantSplit/>
        </w:trPr>
        <w:tc>
          <w:tcPr>
            <w:tcW w:type="dxa" w:w="1800"/>
            <w:vAlign w:val="center"/>
            <w:tcMar>
              <w:top w:w="90" w:type="dxa"/>
              <w:start w:w="120" w:type="dxa"/>
              <w:bottom w:w="90" w:type="dxa"/>
              <w:end w:w="120" w:type="dxa"/>
            </w:tcMar>
          </w:tcPr>
          <w:p>
            <w:pPr>
              <w:spacing w:after="0"/>
            </w:pPr>
            <w:r>
              <w:rPr>
                <w:color w:val="1E2936"/>
                <w:sz w:val="18"/>
              </w:rPr>
              <w:t>US equity</w:t>
            </w:r>
          </w:p>
        </w:tc>
        <w:tc>
          <w:tcPr>
            <w:tcW w:type="dxa" w:w="2800"/>
            <w:vAlign w:val="center"/>
            <w:tcMar>
              <w:top w:w="90" w:type="dxa"/>
              <w:start w:w="120" w:type="dxa"/>
              <w:bottom w:w="90" w:type="dxa"/>
              <w:end w:w="120" w:type="dxa"/>
            </w:tcMar>
          </w:tcPr>
          <w:p>
            <w:pPr>
              <w:spacing w:after="0"/>
            </w:pPr>
            <w:r>
              <w:rPr>
                <w:color w:val="1E2936"/>
                <w:sz w:val="18"/>
              </w:rPr>
              <w:t>S&amp;P 500, Nasdaq 100</w:t>
            </w:r>
          </w:p>
        </w:tc>
        <w:tc>
          <w:tcPr>
            <w:tcW w:type="dxa" w:w="4760"/>
            <w:vAlign w:val="center"/>
            <w:tcMar>
              <w:top w:w="90" w:type="dxa"/>
              <w:start w:w="120" w:type="dxa"/>
              <w:bottom w:w="90" w:type="dxa"/>
              <w:end w:w="120" w:type="dxa"/>
            </w:tcMar>
          </w:tcPr>
          <w:p>
            <w:pPr>
              <w:spacing w:after="0"/>
            </w:pPr>
            <w:r>
              <w:rPr>
                <w:color w:val="1E2936"/>
                <w:sz w:val="18"/>
              </w:rPr>
              <w:t>America/New_York 09:30-16:00 sessions</w:t>
            </w:r>
          </w:p>
        </w:tc>
      </w:tr>
      <w:tr>
        <w:trPr>
          <w:cantSplit/>
        </w:trPr>
        <w:tc>
          <w:tcPr>
            <w:tcW w:type="dxa" w:w="1800"/>
            <w:vAlign w:val="center"/>
            <w:tcMar>
              <w:top w:w="90" w:type="dxa"/>
              <w:start w:w="120" w:type="dxa"/>
              <w:bottom w:w="90" w:type="dxa"/>
              <w:end w:w="120" w:type="dxa"/>
            </w:tcMar>
          </w:tcPr>
          <w:p>
            <w:pPr>
              <w:spacing w:after="0"/>
            </w:pPr>
            <w:r>
              <w:rPr>
                <w:color w:val="1E2936"/>
                <w:sz w:val="18"/>
              </w:rPr>
              <w:t>24/7</w:t>
            </w:r>
          </w:p>
        </w:tc>
        <w:tc>
          <w:tcPr>
            <w:tcW w:type="dxa" w:w="2800"/>
            <w:vAlign w:val="center"/>
            <w:tcMar>
              <w:top w:w="90" w:type="dxa"/>
              <w:start w:w="120" w:type="dxa"/>
              <w:bottom w:w="90" w:type="dxa"/>
              <w:end w:w="120" w:type="dxa"/>
            </w:tcMar>
          </w:tcPr>
          <w:p>
            <w:pPr>
              <w:spacing w:after="0"/>
            </w:pPr>
            <w:r>
              <w:rPr>
                <w:color w:val="1E2936"/>
                <w:sz w:val="18"/>
              </w:rPr>
              <w:t>BTC, ETH, SOL</w:t>
            </w:r>
          </w:p>
        </w:tc>
        <w:tc>
          <w:tcPr>
            <w:tcW w:type="dxa" w:w="4760"/>
            <w:vAlign w:val="center"/>
            <w:tcMar>
              <w:top w:w="90" w:type="dxa"/>
              <w:start w:w="120" w:type="dxa"/>
              <w:bottom w:w="90" w:type="dxa"/>
              <w:end w:w="120" w:type="dxa"/>
            </w:tcMar>
          </w:tcPr>
          <w:p>
            <w:pPr>
              <w:spacing w:after="0"/>
            </w:pPr>
            <w:r>
              <w:rPr>
                <w:color w:val="1E2936"/>
                <w:sz w:val="18"/>
              </w:rPr>
              <w:t>288 M5 candles per complete day</w:t>
            </w:r>
          </w:p>
        </w:tc>
      </w:tr>
      <w:tr>
        <w:trPr>
          <w:cantSplit/>
        </w:trPr>
        <w:tc>
          <w:tcPr>
            <w:tcW w:type="dxa" w:w="1800"/>
            <w:vAlign w:val="center"/>
            <w:tcMar>
              <w:top w:w="90" w:type="dxa"/>
              <w:start w:w="120" w:type="dxa"/>
              <w:bottom w:w="90" w:type="dxa"/>
              <w:end w:w="120" w:type="dxa"/>
            </w:tcMar>
          </w:tcPr>
          <w:p>
            <w:pPr>
              <w:spacing w:after="0"/>
            </w:pPr>
            <w:r>
              <w:rPr>
                <w:color w:val="1E2936"/>
                <w:sz w:val="18"/>
              </w:rPr>
              <w:t>FX</w:t>
            </w:r>
          </w:p>
        </w:tc>
        <w:tc>
          <w:tcPr>
            <w:tcW w:type="dxa" w:w="2800"/>
            <w:vAlign w:val="center"/>
            <w:tcMar>
              <w:top w:w="90" w:type="dxa"/>
              <w:start w:w="120" w:type="dxa"/>
              <w:bottom w:w="90" w:type="dxa"/>
              <w:end w:w="120" w:type="dxa"/>
            </w:tcMar>
          </w:tcPr>
          <w:p>
            <w:pPr>
              <w:spacing w:after="0"/>
            </w:pPr>
            <w:r>
              <w:rPr>
                <w:color w:val="1E2936"/>
                <w:sz w:val="18"/>
              </w:rPr>
              <w:t>EUR/USD, GBP/USD, USD/INR</w:t>
            </w:r>
          </w:p>
        </w:tc>
        <w:tc>
          <w:tcPr>
            <w:tcW w:type="dxa" w:w="4760"/>
            <w:vAlign w:val="center"/>
            <w:tcMar>
              <w:top w:w="90" w:type="dxa"/>
              <w:start w:w="120" w:type="dxa"/>
              <w:bottom w:w="90" w:type="dxa"/>
              <w:end w:w="120" w:type="dxa"/>
            </w:tcMar>
          </w:tcPr>
          <w:p>
            <w:pPr>
              <w:spacing w:after="0"/>
            </w:pPr>
            <w:r>
              <w:rPr>
                <w:color w:val="1E2936"/>
                <w:sz w:val="18"/>
              </w:rPr>
              <w:t>Weekday profile; provider gaps may remove macro bars</w:t>
            </w:r>
          </w:p>
        </w:tc>
      </w:tr>
      <w:tr>
        <w:trPr>
          <w:cantSplit/>
        </w:trPr>
        <w:tc>
          <w:tcPr>
            <w:tcW w:type="dxa" w:w="1800"/>
            <w:vAlign w:val="center"/>
            <w:tcMar>
              <w:top w:w="90" w:type="dxa"/>
              <w:start w:w="120" w:type="dxa"/>
              <w:bottom w:w="90" w:type="dxa"/>
              <w:end w:w="120" w:type="dxa"/>
            </w:tcMar>
          </w:tcPr>
          <w:p>
            <w:pPr>
              <w:spacing w:after="0"/>
            </w:pPr>
            <w:r>
              <w:rPr>
                <w:color w:val="1E2936"/>
                <w:sz w:val="18"/>
              </w:rPr>
              <w:t>Futures</w:t>
            </w:r>
          </w:p>
        </w:tc>
        <w:tc>
          <w:tcPr>
            <w:tcW w:type="dxa" w:w="2800"/>
            <w:vAlign w:val="center"/>
            <w:tcMar>
              <w:top w:w="90" w:type="dxa"/>
              <w:start w:w="120" w:type="dxa"/>
              <w:bottom w:w="90" w:type="dxa"/>
              <w:end w:w="120" w:type="dxa"/>
            </w:tcMar>
          </w:tcPr>
          <w:p>
            <w:pPr>
              <w:spacing w:after="0"/>
            </w:pPr>
            <w:r>
              <w:rPr>
                <w:color w:val="1E2936"/>
                <w:sz w:val="18"/>
              </w:rPr>
              <w:t>Gold, Silver, WTI</w:t>
            </w:r>
          </w:p>
        </w:tc>
        <w:tc>
          <w:tcPr>
            <w:tcW w:type="dxa" w:w="4760"/>
            <w:vAlign w:val="center"/>
            <w:tcMar>
              <w:top w:w="90" w:type="dxa"/>
              <w:start w:w="120" w:type="dxa"/>
              <w:bottom w:w="90" w:type="dxa"/>
              <w:end w:w="120" w:type="dxa"/>
            </w:tcMar>
          </w:tcPr>
          <w:p>
            <w:pPr>
              <w:spacing w:after="0"/>
            </w:pPr>
            <w:r>
              <w:rPr>
                <w:color w:val="1E2936"/>
                <w:sz w:val="18"/>
              </w:rPr>
              <w:t>Daily maintenance break accounted for</w:t>
            </w:r>
          </w:p>
        </w:tc>
      </w:tr>
    </w:tbl>
    <w:p>
      <w:pPr>
        <w:spacing w:after="20"/>
      </w:pPr>
    </w:p>
    <w:p>
      <w:r>
        <w:br w:type="page"/>
      </w:r>
    </w:p>
    <w:p>
      <w:pPr>
        <w:pStyle w:val="Heading1"/>
      </w:pPr>
      <w:r>
        <w:t>Pre-trade operating checklist</w:t>
      </w:r>
    </w:p>
    <w:p>
      <w:pPr>
        <w:pStyle w:val="Heading2"/>
      </w:pPr>
      <w:r>
        <w:t>Structure</w:t>
      </w:r>
    </w:p>
    <w:p>
      <w:pPr>
        <w:pStyle w:val="ListBullet"/>
      </w:pPr>
      <w:r>
        <w:t>The selected path is EntryReady, not merely Forming.</w:t>
      </w:r>
    </w:p>
    <w:p>
      <w:pPr>
        <w:pStyle w:val="ListBullet"/>
      </w:pPr>
      <w:r>
        <w:t>Lifecycle is Active; target has not already been hit and invalidation has not occurred.</w:t>
      </w:r>
    </w:p>
    <w:p>
      <w:pPr>
        <w:pStyle w:val="ListBullet"/>
      </w:pPr>
      <w:r>
        <w:t>The final pivot is Wave 4 for an impulse or Wave B for a corrective setup.</w:t>
      </w:r>
    </w:p>
    <w:p>
      <w:pPr>
        <w:pStyle w:val="ListBullet"/>
      </w:pPr>
      <w:r>
        <w:t>The selected alternative remains visible and its labels match the intended candidate.</w:t>
      </w:r>
    </w:p>
    <w:p>
      <w:pPr>
        <w:pStyle w:val="Heading2"/>
      </w:pPr>
      <w:r>
        <w:t>Evidence</w:t>
      </w:r>
    </w:p>
    <w:p>
      <w:pPr>
        <w:pStyle w:val="ListBullet"/>
      </w:pPr>
      <w:r>
        <w:t>Confidence passes the pre-defined threshold.</w:t>
      </w:r>
    </w:p>
    <w:p>
      <w:pPr>
        <w:pStyle w:val="ListBullet"/>
      </w:pPr>
      <w:r>
        <w:t>Score audit shows acceptable Fibonacci, momentum, and geometry evidence.</w:t>
      </w:r>
    </w:p>
    <w:p>
      <w:pPr>
        <w:pStyle w:val="ListBullet"/>
      </w:pPr>
      <w:r>
        <w:t>Higher-timeframe direction does not create an unexplained conflict.</w:t>
      </w:r>
    </w:p>
    <w:p>
      <w:pPr>
        <w:pStyle w:val="ListBullet"/>
      </w:pPr>
      <w:r>
        <w:t>ATR parameters match the tested policy and were not tuned after seeing the pattern.</w:t>
      </w:r>
    </w:p>
    <w:p>
      <w:pPr>
        <w:pStyle w:val="Heading2"/>
      </w:pPr>
      <w:r>
        <w:t>Risk and execution</w:t>
      </w:r>
    </w:p>
    <w:p>
      <w:pPr>
        <w:pStyle w:val="ListBullet"/>
      </w:pPr>
      <w:r>
        <w:t>Entry, invalidation, and target are on the correct side for the direction.</w:t>
      </w:r>
    </w:p>
    <w:p>
      <w:pPr>
        <w:pStyle w:val="ListBullet"/>
      </w:pPr>
      <w:r>
        <w:t>Reward-to-risk remains acceptable after spread, slippage, and commission.</w:t>
      </w:r>
    </w:p>
    <w:p>
      <w:pPr>
        <w:pStyle w:val="ListBullet"/>
      </w:pPr>
      <w:r>
        <w:t>Position size is derived from the invalidation distance, not from desired profit.</w:t>
      </w:r>
    </w:p>
    <w:p>
      <w:pPr>
        <w:pStyle w:val="ListBullet"/>
      </w:pPr>
      <w:r>
        <w:t>Open positions, correlated exposure, and daily loss limits remain within policy.</w:t>
      </w:r>
    </w:p>
    <w:p>
      <w:pPr>
        <w:pStyle w:val="ListBullet"/>
      </w:pPr>
      <w:r>
        <w:t>Upcoming earnings, macro releases, market closure, and liquidity conditions are checked.</w:t>
      </w:r>
    </w:p>
    <w:tbl>
      <w:tblPr>
        <w:tblW w:type="auto" w:w="0"/>
        <w:jc w:val="left"/>
        <w:tblLayout w:type="fixed"/>
        <w:tblLook w:firstColumn="1" w:firstRow="1" w:lastColumn="0" w:lastRow="0" w:noHBand="0" w:noVBand="1" w:val="04A0"/>
      </w:tblPr>
      <w:tblGrid>
        <w:gridCol w:w="9878"/>
      </w:tblGrid>
      <w:tr>
        <w:tc>
          <w:tcPr>
            <w:tcW w:type="dxa" w:w="9360"/>
            <w:shd w:fill="F4F6F9"/>
            <w:tcMar>
              <w:top w:w="120" w:type="dxa"/>
              <w:start w:w="160" w:type="dxa"/>
              <w:bottom w:w="120" w:type="dxa"/>
              <w:end w:w="160" w:type="dxa"/>
            </w:tcMar>
          </w:tcPr>
          <w:p>
            <w:pPr>
              <w:spacing w:after="0"/>
            </w:pPr>
            <w:r>
              <w:rPr>
                <w:b/>
                <w:color w:val="C43D4B"/>
              </w:rPr>
              <w:t xml:space="preserve">No-trade rule: </w:t>
            </w:r>
            <w:r>
              <w:rPr>
                <w:color w:val="1E2936"/>
              </w:rPr>
              <w:t>If any hard structural, data-quality, lifecycle, or risk gate is uncertain, the correct terminal action is no trade.</w:t>
            </w:r>
          </w:p>
        </w:tc>
      </w:tr>
    </w:tbl>
    <w:p>
      <w:pPr>
        <w:spacing w:after="20"/>
      </w:pPr>
    </w:p>
    <w:p>
      <w:pPr>
        <w:pStyle w:val="Heading2"/>
      </w:pPr>
      <w:r>
        <w:t>Post-decision audit record</w:t>
      </w:r>
    </w:p>
    <w:tbl>
      <w:tblPr>
        <w:tblStyle w:val="TableGrid"/>
        <w:tblW w:type="auto" w:w="0"/>
        <w:jc w:val="left"/>
        <w:tblLayout w:type="fixed"/>
        <w:tblLook w:firstColumn="1" w:firstRow="1" w:lastColumn="0" w:lastRow="0" w:noHBand="0" w:noVBand="1" w:val="04A0"/>
      </w:tblPr>
      <w:tblGrid>
        <w:gridCol w:w="4939"/>
        <w:gridCol w:w="4939"/>
      </w:tblGrid>
      <w:tr>
        <w:trPr>
          <w:tblHeader w:val="true"/>
        </w:trPr>
        <w:tc>
          <w:tcPr>
            <w:tcW w:type="dxa" w:w="2450"/>
            <w:shd w:fill="E8EEF5"/>
            <w:vAlign w:val="center"/>
            <w:tcMar>
              <w:top w:w="90" w:type="dxa"/>
              <w:start w:w="120" w:type="dxa"/>
              <w:bottom w:w="90" w:type="dxa"/>
              <w:end w:w="120" w:type="dxa"/>
            </w:tcMar>
          </w:tcPr>
          <w:p>
            <w:r>
              <w:rPr>
                <w:b/>
                <w:color w:val="132238"/>
                <w:sz w:val="19"/>
              </w:rPr>
              <w:t>Record</w:t>
            </w:r>
          </w:p>
        </w:tc>
        <w:tc>
          <w:tcPr>
            <w:tcW w:type="dxa" w:w="6910"/>
            <w:shd w:fill="E8EEF5"/>
            <w:vAlign w:val="center"/>
            <w:tcMar>
              <w:top w:w="90" w:type="dxa"/>
              <w:start w:w="120" w:type="dxa"/>
              <w:bottom w:w="90" w:type="dxa"/>
              <w:end w:w="120" w:type="dxa"/>
            </w:tcMar>
          </w:tcPr>
          <w:p>
            <w:r>
              <w:rPr>
                <w:b/>
                <w:color w:val="132238"/>
                <w:sz w:val="19"/>
              </w:rPr>
              <w:t>Minimum value to retain</w:t>
            </w:r>
          </w:p>
        </w:tc>
      </w:tr>
      <w:tr>
        <w:trPr>
          <w:cantSplit/>
        </w:trPr>
        <w:tc>
          <w:tcPr>
            <w:tcW w:type="dxa" w:w="2450"/>
            <w:vAlign w:val="center"/>
            <w:tcMar>
              <w:top w:w="90" w:type="dxa"/>
              <w:start w:w="120" w:type="dxa"/>
              <w:bottom w:w="90" w:type="dxa"/>
              <w:end w:w="120" w:type="dxa"/>
            </w:tcMar>
          </w:tcPr>
          <w:p>
            <w:pPr>
              <w:spacing w:after="0"/>
            </w:pPr>
            <w:r>
              <w:rPr>
                <w:color w:val="1E2936"/>
                <w:sz w:val="18"/>
              </w:rPr>
              <w:t>Market context</w:t>
            </w:r>
          </w:p>
        </w:tc>
        <w:tc>
          <w:tcPr>
            <w:tcW w:type="dxa" w:w="6910"/>
            <w:vAlign w:val="center"/>
            <w:tcMar>
              <w:top w:w="90" w:type="dxa"/>
              <w:start w:w="120" w:type="dxa"/>
              <w:bottom w:w="90" w:type="dxa"/>
              <w:end w:w="120" w:type="dxa"/>
            </w:tcMar>
          </w:tcPr>
          <w:p>
            <w:pPr>
              <w:spacing w:after="0"/>
            </w:pPr>
            <w:r>
              <w:rPr>
                <w:color w:val="1E2936"/>
                <w:sz w:val="18"/>
              </w:rPr>
              <w:t>Asset, timeframe, timestamp, data-through timestamp</w:t>
            </w:r>
          </w:p>
        </w:tc>
      </w:tr>
      <w:tr>
        <w:trPr>
          <w:cantSplit/>
        </w:trPr>
        <w:tc>
          <w:tcPr>
            <w:tcW w:type="dxa" w:w="2450"/>
            <w:vAlign w:val="center"/>
            <w:tcMar>
              <w:top w:w="90" w:type="dxa"/>
              <w:start w:w="120" w:type="dxa"/>
              <w:bottom w:w="90" w:type="dxa"/>
              <w:end w:w="120" w:type="dxa"/>
            </w:tcMar>
          </w:tcPr>
          <w:p>
            <w:pPr>
              <w:spacing w:after="0"/>
            </w:pPr>
            <w:r>
              <w:rPr>
                <w:color w:val="1E2936"/>
                <w:sz w:val="18"/>
              </w:rPr>
              <w:t>Candidate</w:t>
            </w:r>
          </w:p>
        </w:tc>
        <w:tc>
          <w:tcPr>
            <w:tcW w:type="dxa" w:w="6910"/>
            <w:vAlign w:val="center"/>
            <w:tcMar>
              <w:top w:w="90" w:type="dxa"/>
              <w:start w:w="120" w:type="dxa"/>
              <w:bottom w:w="90" w:type="dxa"/>
              <w:end w:w="120" w:type="dxa"/>
            </w:tcMar>
          </w:tcPr>
          <w:p>
            <w:pPr>
              <w:spacing w:after="0"/>
            </w:pPr>
            <w:r>
              <w:rPr>
                <w:color w:val="1E2936"/>
                <w:sz w:val="18"/>
              </w:rPr>
              <w:t>Pattern, variant, direction, stage, node sequence</w:t>
            </w:r>
          </w:p>
        </w:tc>
      </w:tr>
      <w:tr>
        <w:trPr>
          <w:cantSplit/>
        </w:trPr>
        <w:tc>
          <w:tcPr>
            <w:tcW w:type="dxa" w:w="2450"/>
            <w:vAlign w:val="center"/>
            <w:tcMar>
              <w:top w:w="90" w:type="dxa"/>
              <w:start w:w="120" w:type="dxa"/>
              <w:bottom w:w="90" w:type="dxa"/>
              <w:end w:w="120" w:type="dxa"/>
            </w:tcMar>
          </w:tcPr>
          <w:p>
            <w:pPr>
              <w:spacing w:after="0"/>
            </w:pPr>
            <w:r>
              <w:rPr>
                <w:color w:val="1E2936"/>
                <w:sz w:val="18"/>
              </w:rPr>
              <w:t>Decision evidence</w:t>
            </w:r>
          </w:p>
        </w:tc>
        <w:tc>
          <w:tcPr>
            <w:tcW w:type="dxa" w:w="6910"/>
            <w:vAlign w:val="center"/>
            <w:tcMar>
              <w:top w:w="90" w:type="dxa"/>
              <w:start w:w="120" w:type="dxa"/>
              <w:bottom w:w="90" w:type="dxa"/>
              <w:end w:w="120" w:type="dxa"/>
            </w:tcMar>
          </w:tcPr>
          <w:p>
            <w:pPr>
              <w:spacing w:after="0"/>
            </w:pPr>
            <w:r>
              <w:rPr>
                <w:color w:val="1E2936"/>
                <w:sz w:val="18"/>
              </w:rPr>
              <w:t>Score total and ScoreItem breakdown</w:t>
            </w:r>
          </w:p>
        </w:tc>
      </w:tr>
      <w:tr>
        <w:trPr>
          <w:cantSplit/>
        </w:trPr>
        <w:tc>
          <w:tcPr>
            <w:tcW w:type="dxa" w:w="2450"/>
            <w:vAlign w:val="center"/>
            <w:tcMar>
              <w:top w:w="90" w:type="dxa"/>
              <w:start w:w="120" w:type="dxa"/>
              <w:bottom w:w="90" w:type="dxa"/>
              <w:end w:w="120" w:type="dxa"/>
            </w:tcMar>
          </w:tcPr>
          <w:p>
            <w:pPr>
              <w:spacing w:after="0"/>
            </w:pPr>
            <w:r>
              <w:rPr>
                <w:color w:val="1E2936"/>
                <w:sz w:val="18"/>
              </w:rPr>
              <w:t>Risk references</w:t>
            </w:r>
          </w:p>
        </w:tc>
        <w:tc>
          <w:tcPr>
            <w:tcW w:type="dxa" w:w="6910"/>
            <w:vAlign w:val="center"/>
            <w:tcMar>
              <w:top w:w="90" w:type="dxa"/>
              <w:start w:w="120" w:type="dxa"/>
              <w:bottom w:w="90" w:type="dxa"/>
              <w:end w:w="120" w:type="dxa"/>
            </w:tcMar>
          </w:tcPr>
          <w:p>
            <w:pPr>
              <w:spacing w:after="0"/>
            </w:pPr>
            <w:r>
              <w:rPr>
                <w:color w:val="1E2936"/>
                <w:sz w:val="18"/>
              </w:rPr>
              <w:t>Entry reference, invalidation, target zone, size, friction</w:t>
            </w:r>
          </w:p>
        </w:tc>
      </w:tr>
      <w:tr>
        <w:trPr>
          <w:cantSplit/>
        </w:trPr>
        <w:tc>
          <w:tcPr>
            <w:tcW w:type="dxa" w:w="2450"/>
            <w:vAlign w:val="center"/>
            <w:tcMar>
              <w:top w:w="90" w:type="dxa"/>
              <w:start w:w="120" w:type="dxa"/>
              <w:bottom w:w="90" w:type="dxa"/>
              <w:end w:w="120" w:type="dxa"/>
            </w:tcMar>
          </w:tcPr>
          <w:p>
            <w:pPr>
              <w:spacing w:after="0"/>
            </w:pPr>
            <w:r>
              <w:rPr>
                <w:color w:val="1E2936"/>
                <w:sz w:val="18"/>
              </w:rPr>
              <w:t>Outcome</w:t>
            </w:r>
          </w:p>
        </w:tc>
        <w:tc>
          <w:tcPr>
            <w:tcW w:type="dxa" w:w="6910"/>
            <w:vAlign w:val="center"/>
            <w:tcMar>
              <w:top w:w="90" w:type="dxa"/>
              <w:start w:w="120" w:type="dxa"/>
              <w:bottom w:w="90" w:type="dxa"/>
              <w:end w:w="120" w:type="dxa"/>
            </w:tcMar>
          </w:tcPr>
          <w:p>
            <w:pPr>
              <w:spacing w:after="0"/>
            </w:pPr>
            <w:r>
              <w:rPr>
                <w:color w:val="1E2936"/>
                <w:sz w:val="18"/>
              </w:rPr>
              <w:t>Filled/not filled, exit reason, realized P/L, maximum adverse excursion</w:t>
            </w:r>
          </w:p>
        </w:tc>
      </w:tr>
    </w:tbl>
    <w:p>
      <w:pPr>
        <w:spacing w:after="20"/>
      </w:pPr>
    </w:p>
    <w:p>
      <w:r>
        <w:br w:type="page"/>
      </w:r>
    </w:p>
    <w:p>
      <w:pPr>
        <w:pStyle w:val="Heading1"/>
      </w:pPr>
      <w:r>
        <w:t>Troubleshooting</w:t>
      </w:r>
    </w:p>
    <w:tbl>
      <w:tblPr>
        <w:tblStyle w:val="TableGrid"/>
        <w:tblW w:type="auto" w:w="0"/>
        <w:jc w:val="left"/>
        <w:tblLayout w:type="fixed"/>
        <w:tblLook w:firstColumn="1" w:firstRow="1" w:lastColumn="0" w:lastRow="0" w:noHBand="0" w:noVBand="1" w:val="04A0"/>
      </w:tblPr>
      <w:tblGrid>
        <w:gridCol w:w="3293"/>
        <w:gridCol w:w="3293"/>
        <w:gridCol w:w="3293"/>
      </w:tblGrid>
      <w:tr>
        <w:trPr>
          <w:tblHeader w:val="true"/>
        </w:trPr>
        <w:tc>
          <w:tcPr>
            <w:tcW w:type="dxa" w:w="1800"/>
            <w:shd w:fill="E8EEF5"/>
            <w:vAlign w:val="center"/>
            <w:tcMar>
              <w:top w:w="90" w:type="dxa"/>
              <w:start w:w="120" w:type="dxa"/>
              <w:bottom w:w="90" w:type="dxa"/>
              <w:end w:w="120" w:type="dxa"/>
            </w:tcMar>
          </w:tcPr>
          <w:p>
            <w:r>
              <w:rPr>
                <w:b/>
                <w:color w:val="132238"/>
                <w:sz w:val="19"/>
              </w:rPr>
              <w:t>Symptom</w:t>
            </w:r>
          </w:p>
        </w:tc>
        <w:tc>
          <w:tcPr>
            <w:tcW w:type="dxa" w:w="3650"/>
            <w:shd w:fill="E8EEF5"/>
            <w:vAlign w:val="center"/>
            <w:tcMar>
              <w:top w:w="90" w:type="dxa"/>
              <w:start w:w="120" w:type="dxa"/>
              <w:bottom w:w="90" w:type="dxa"/>
              <w:end w:w="120" w:type="dxa"/>
            </w:tcMar>
          </w:tcPr>
          <w:p>
            <w:r>
              <w:rPr>
                <w:b/>
                <w:color w:val="132238"/>
                <w:sz w:val="19"/>
              </w:rPr>
              <w:t>Likely explanation</w:t>
            </w:r>
          </w:p>
        </w:tc>
        <w:tc>
          <w:tcPr>
            <w:tcW w:type="dxa" w:w="3910"/>
            <w:shd w:fill="E8EEF5"/>
            <w:vAlign w:val="center"/>
            <w:tcMar>
              <w:top w:w="90" w:type="dxa"/>
              <w:start w:w="120" w:type="dxa"/>
              <w:bottom w:w="90" w:type="dxa"/>
              <w:end w:w="120" w:type="dxa"/>
            </w:tcMar>
          </w:tcPr>
          <w:p>
            <w:r>
              <w:rPr>
                <w:b/>
                <w:color w:val="132238"/>
                <w:sz w:val="19"/>
              </w:rPr>
              <w:t>Action</w:t>
            </w:r>
          </w:p>
        </w:tc>
      </w:tr>
      <w:tr>
        <w:trPr>
          <w:cantSplit/>
        </w:trPr>
        <w:tc>
          <w:tcPr>
            <w:tcW w:type="dxa" w:w="1800"/>
            <w:vAlign w:val="center"/>
            <w:tcMar>
              <w:top w:w="90" w:type="dxa"/>
              <w:start w:w="120" w:type="dxa"/>
              <w:bottom w:w="90" w:type="dxa"/>
              <w:end w:w="120" w:type="dxa"/>
            </w:tcMar>
          </w:tcPr>
          <w:p>
            <w:pPr>
              <w:spacing w:after="0"/>
            </w:pPr>
            <w:r>
              <w:rPr>
                <w:color w:val="1E2936"/>
                <w:sz w:val="18"/>
              </w:rPr>
              <w:t>No valid paths</w:t>
            </w:r>
          </w:p>
        </w:tc>
        <w:tc>
          <w:tcPr>
            <w:tcW w:type="dxa" w:w="3650"/>
            <w:vAlign w:val="center"/>
            <w:tcMar>
              <w:top w:w="90" w:type="dxa"/>
              <w:start w:w="120" w:type="dxa"/>
              <w:bottom w:w="90" w:type="dxa"/>
              <w:end w:w="120" w:type="dxa"/>
            </w:tcMar>
          </w:tcPr>
          <w:p>
            <w:pPr>
              <w:spacing w:after="0"/>
            </w:pPr>
            <w:r>
              <w:rPr>
                <w:color w:val="1E2936"/>
                <w:sz w:val="18"/>
              </w:rPr>
              <w:t>Current pivots do not satisfy hard rules or the scope/filter removes them.</w:t>
            </w:r>
          </w:p>
        </w:tc>
        <w:tc>
          <w:tcPr>
            <w:tcW w:type="dxa" w:w="3910"/>
            <w:vAlign w:val="center"/>
            <w:tcMar>
              <w:top w:w="90" w:type="dxa"/>
              <w:start w:w="120" w:type="dxa"/>
              <w:bottom w:w="90" w:type="dxa"/>
              <w:end w:w="120" w:type="dxa"/>
            </w:tcMar>
          </w:tcPr>
          <w:p>
            <w:pPr>
              <w:spacing w:after="0"/>
            </w:pPr>
            <w:r>
              <w:rPr>
                <w:color w:val="1E2936"/>
                <w:sz w:val="18"/>
              </w:rPr>
              <w:t>Use Balanced + All history for diagnosis; do not weaken rules just to create a count.</w:t>
            </w:r>
          </w:p>
        </w:tc>
      </w:tr>
      <w:tr>
        <w:trPr>
          <w:cantSplit/>
        </w:trPr>
        <w:tc>
          <w:tcPr>
            <w:tcW w:type="dxa" w:w="1800"/>
            <w:vAlign w:val="center"/>
            <w:tcMar>
              <w:top w:w="90" w:type="dxa"/>
              <w:start w:w="120" w:type="dxa"/>
              <w:bottom w:w="90" w:type="dxa"/>
              <w:end w:w="120" w:type="dxa"/>
            </w:tcMar>
          </w:tcPr>
          <w:p>
            <w:pPr>
              <w:spacing w:after="0"/>
            </w:pPr>
            <w:r>
              <w:rPr>
                <w:color w:val="1E2936"/>
                <w:sz w:val="18"/>
              </w:rPr>
              <w:t>No chart arrow</w:t>
            </w:r>
          </w:p>
        </w:tc>
        <w:tc>
          <w:tcPr>
            <w:tcW w:type="dxa" w:w="3650"/>
            <w:vAlign w:val="center"/>
            <w:tcMar>
              <w:top w:w="90" w:type="dxa"/>
              <w:start w:w="120" w:type="dxa"/>
              <w:bottom w:w="90" w:type="dxa"/>
              <w:end w:w="120" w:type="dxa"/>
            </w:tcMar>
          </w:tcPr>
          <w:p>
            <w:pPr>
              <w:spacing w:after="0"/>
            </w:pPr>
            <w:r>
              <w:rPr>
                <w:color w:val="1E2936"/>
                <w:sz w:val="18"/>
              </w:rPr>
              <w:t>Overlay disabled, setup not EntryReady, lifecycle inactive, or score below threshold.</w:t>
            </w:r>
          </w:p>
        </w:tc>
        <w:tc>
          <w:tcPr>
            <w:tcW w:type="dxa" w:w="3910"/>
            <w:vAlign w:val="center"/>
            <w:tcMar>
              <w:top w:w="90" w:type="dxa"/>
              <w:start w:w="120" w:type="dxa"/>
              <w:bottom w:w="90" w:type="dxa"/>
              <w:end w:w="120" w:type="dxa"/>
            </w:tcMar>
          </w:tcPr>
          <w:p>
            <w:pPr>
              <w:spacing w:after="0"/>
            </w:pPr>
            <w:r>
              <w:rPr>
                <w:color w:val="1E2936"/>
                <w:sz w:val="18"/>
              </w:rPr>
              <w:t>Read Marker threshold and System Hints; verify all three marker gates.</w:t>
            </w:r>
          </w:p>
        </w:tc>
      </w:tr>
      <w:tr>
        <w:trPr>
          <w:cantSplit/>
        </w:trPr>
        <w:tc>
          <w:tcPr>
            <w:tcW w:type="dxa" w:w="1800"/>
            <w:vAlign w:val="center"/>
            <w:tcMar>
              <w:top w:w="90" w:type="dxa"/>
              <w:start w:w="120" w:type="dxa"/>
              <w:bottom w:w="90" w:type="dxa"/>
              <w:end w:w="120" w:type="dxa"/>
            </w:tcMar>
          </w:tcPr>
          <w:p>
            <w:pPr>
              <w:spacing w:after="0"/>
            </w:pPr>
            <w:r>
              <w:rPr>
                <w:color w:val="1E2936"/>
                <w:sz w:val="18"/>
              </w:rPr>
              <w:t>No complete candles</w:t>
            </w:r>
          </w:p>
        </w:tc>
        <w:tc>
          <w:tcPr>
            <w:tcW w:type="dxa" w:w="3650"/>
            <w:vAlign w:val="center"/>
            <w:tcMar>
              <w:top w:w="90" w:type="dxa"/>
              <w:start w:w="120" w:type="dxa"/>
              <w:bottom w:w="90" w:type="dxa"/>
              <w:end w:w="120" w:type="dxa"/>
            </w:tcMar>
          </w:tcPr>
          <w:p>
            <w:pPr>
              <w:spacing w:after="0"/>
            </w:pPr>
            <w:r>
              <w:rPr>
                <w:color w:val="1E2936"/>
                <w:sz w:val="18"/>
              </w:rPr>
              <w:t>Provider history is insufficient for that market/timeframe.</w:t>
            </w:r>
          </w:p>
        </w:tc>
        <w:tc>
          <w:tcPr>
            <w:tcW w:type="dxa" w:w="3910"/>
            <w:vAlign w:val="center"/>
            <w:tcMar>
              <w:top w:w="90" w:type="dxa"/>
              <w:start w:w="120" w:type="dxa"/>
              <w:bottom w:w="90" w:type="dxa"/>
              <w:end w:w="120" w:type="dxa"/>
            </w:tcMar>
          </w:tcPr>
          <w:p>
            <w:pPr>
              <w:spacing w:after="0"/>
            </w:pPr>
            <w:r>
              <w:rPr>
                <w:color w:val="1E2936"/>
                <w:sz w:val="18"/>
              </w:rPr>
              <w:t>Try a lower timeframe or refresh data. Never fabricate macro bars.</w:t>
            </w:r>
          </w:p>
        </w:tc>
      </w:tr>
      <w:tr>
        <w:trPr>
          <w:cantSplit/>
        </w:trPr>
        <w:tc>
          <w:tcPr>
            <w:tcW w:type="dxa" w:w="1800"/>
            <w:vAlign w:val="center"/>
            <w:tcMar>
              <w:top w:w="90" w:type="dxa"/>
              <w:start w:w="120" w:type="dxa"/>
              <w:bottom w:w="90" w:type="dxa"/>
              <w:end w:w="120" w:type="dxa"/>
            </w:tcMar>
          </w:tcPr>
          <w:p>
            <w:pPr>
              <w:spacing w:after="0"/>
            </w:pPr>
            <w:r>
              <w:rPr>
                <w:color w:val="1E2936"/>
                <w:sz w:val="18"/>
              </w:rPr>
              <w:t>Weekly FX/futures absent</w:t>
            </w:r>
          </w:p>
        </w:tc>
        <w:tc>
          <w:tcPr>
            <w:tcW w:type="dxa" w:w="3650"/>
            <w:vAlign w:val="center"/>
            <w:tcMar>
              <w:top w:w="90" w:type="dxa"/>
              <w:start w:w="120" w:type="dxa"/>
              <w:bottom w:w="90" w:type="dxa"/>
              <w:end w:w="120" w:type="dxa"/>
            </w:tcMar>
          </w:tcPr>
          <w:p>
            <w:pPr>
              <w:spacing w:after="0"/>
            </w:pPr>
            <w:r>
              <w:rPr>
                <w:color w:val="1E2936"/>
                <w:sz w:val="18"/>
              </w:rPr>
              <w:t>Strict constituent M5 count was not met.</w:t>
            </w:r>
          </w:p>
        </w:tc>
        <w:tc>
          <w:tcPr>
            <w:tcW w:type="dxa" w:w="3910"/>
            <w:vAlign w:val="center"/>
            <w:tcMar>
              <w:top w:w="90" w:type="dxa"/>
              <w:start w:w="120" w:type="dxa"/>
              <w:bottom w:w="90" w:type="dxa"/>
              <w:end w:w="120" w:type="dxa"/>
            </w:tcMar>
          </w:tcPr>
          <w:p>
            <w:pPr>
              <w:spacing w:after="0"/>
            </w:pPr>
            <w:r>
              <w:rPr>
                <w:color w:val="1E2936"/>
                <w:sz w:val="18"/>
              </w:rPr>
              <w:t>Use complete lower frames or a higher-quality production feed.</w:t>
            </w:r>
          </w:p>
        </w:tc>
      </w:tr>
      <w:tr>
        <w:trPr>
          <w:cantSplit/>
        </w:trPr>
        <w:tc>
          <w:tcPr>
            <w:tcW w:type="dxa" w:w="1800"/>
            <w:vAlign w:val="center"/>
            <w:tcMar>
              <w:top w:w="90" w:type="dxa"/>
              <w:start w:w="120" w:type="dxa"/>
              <w:bottom w:w="90" w:type="dxa"/>
              <w:end w:w="120" w:type="dxa"/>
            </w:tcMar>
          </w:tcPr>
          <w:p>
            <w:pPr>
              <w:spacing w:after="0"/>
            </w:pPr>
            <w:r>
              <w:rPr>
                <w:color w:val="1E2936"/>
                <w:sz w:val="18"/>
              </w:rPr>
              <w:t>Too many pivots</w:t>
            </w:r>
          </w:p>
        </w:tc>
        <w:tc>
          <w:tcPr>
            <w:tcW w:type="dxa" w:w="3650"/>
            <w:vAlign w:val="center"/>
            <w:tcMar>
              <w:top w:w="90" w:type="dxa"/>
              <w:start w:w="120" w:type="dxa"/>
              <w:bottom w:w="90" w:type="dxa"/>
              <w:end w:w="120" w:type="dxa"/>
            </w:tcMar>
          </w:tcPr>
          <w:p>
            <w:pPr>
              <w:spacing w:after="0"/>
            </w:pPr>
            <w:r>
              <w:rPr>
                <w:color w:val="1E2936"/>
                <w:sz w:val="18"/>
              </w:rPr>
              <w:t>ATR multiplier is too low for current volatility.</w:t>
            </w:r>
          </w:p>
        </w:tc>
        <w:tc>
          <w:tcPr>
            <w:tcW w:type="dxa" w:w="3910"/>
            <w:vAlign w:val="center"/>
            <w:tcMar>
              <w:top w:w="90" w:type="dxa"/>
              <w:start w:w="120" w:type="dxa"/>
              <w:bottom w:w="90" w:type="dxa"/>
              <w:end w:w="120" w:type="dxa"/>
            </w:tcMar>
          </w:tcPr>
          <w:p>
            <w:pPr>
              <w:spacing w:after="0"/>
            </w:pPr>
            <w:r>
              <w:rPr>
                <w:color w:val="1E2936"/>
                <w:sz w:val="18"/>
              </w:rPr>
              <w:t>Return to the tested baseline; evaluate changes through sensitivity analysis.</w:t>
            </w:r>
          </w:p>
        </w:tc>
      </w:tr>
      <w:tr>
        <w:trPr>
          <w:cantSplit/>
        </w:trPr>
        <w:tc>
          <w:tcPr>
            <w:tcW w:type="dxa" w:w="1800"/>
            <w:vAlign w:val="center"/>
            <w:tcMar>
              <w:top w:w="90" w:type="dxa"/>
              <w:start w:w="120" w:type="dxa"/>
              <w:bottom w:w="90" w:type="dxa"/>
              <w:end w:w="120" w:type="dxa"/>
            </w:tcMar>
          </w:tcPr>
          <w:p>
            <w:pPr>
              <w:spacing w:after="0"/>
            </w:pPr>
            <w:r>
              <w:rPr>
                <w:color w:val="1E2936"/>
                <w:sz w:val="18"/>
              </w:rPr>
              <w:t>Too few pivots</w:t>
            </w:r>
          </w:p>
        </w:tc>
        <w:tc>
          <w:tcPr>
            <w:tcW w:type="dxa" w:w="3650"/>
            <w:vAlign w:val="center"/>
            <w:tcMar>
              <w:top w:w="90" w:type="dxa"/>
              <w:start w:w="120" w:type="dxa"/>
              <w:bottom w:w="90" w:type="dxa"/>
              <w:end w:w="120" w:type="dxa"/>
            </w:tcMar>
          </w:tcPr>
          <w:p>
            <w:pPr>
              <w:spacing w:after="0"/>
            </w:pPr>
            <w:r>
              <w:rPr>
                <w:color w:val="1E2936"/>
                <w:sz w:val="18"/>
              </w:rPr>
              <w:t>ATR multiplier is high or history is short.</w:t>
            </w:r>
          </w:p>
        </w:tc>
        <w:tc>
          <w:tcPr>
            <w:tcW w:type="dxa" w:w="3910"/>
            <w:vAlign w:val="center"/>
            <w:tcMar>
              <w:top w:w="90" w:type="dxa"/>
              <w:start w:w="120" w:type="dxa"/>
              <w:bottom w:w="90" w:type="dxa"/>
              <w:end w:w="120" w:type="dxa"/>
            </w:tcMar>
          </w:tcPr>
          <w:p>
            <w:pPr>
              <w:spacing w:after="0"/>
            </w:pPr>
            <w:r>
              <w:rPr>
                <w:color w:val="1E2936"/>
                <w:sz w:val="18"/>
              </w:rPr>
              <w:t>Check data coverage before changing parameters.</w:t>
            </w:r>
          </w:p>
        </w:tc>
      </w:tr>
      <w:tr>
        <w:trPr>
          <w:cantSplit/>
        </w:trPr>
        <w:tc>
          <w:tcPr>
            <w:tcW w:type="dxa" w:w="1800"/>
            <w:vAlign w:val="center"/>
            <w:tcMar>
              <w:top w:w="90" w:type="dxa"/>
              <w:start w:w="120" w:type="dxa"/>
              <w:bottom w:w="90" w:type="dxa"/>
              <w:end w:w="120" w:type="dxa"/>
            </w:tcMar>
          </w:tcPr>
          <w:p>
            <w:pPr>
              <w:spacing w:after="0"/>
            </w:pPr>
            <w:r>
              <w:rPr>
                <w:color w:val="1E2936"/>
                <w:sz w:val="18"/>
              </w:rPr>
              <w:t>Different alternatives overlap</w:t>
            </w:r>
          </w:p>
        </w:tc>
        <w:tc>
          <w:tcPr>
            <w:tcW w:type="dxa" w:w="3650"/>
            <w:vAlign w:val="center"/>
            <w:tcMar>
              <w:top w:w="90" w:type="dxa"/>
              <w:start w:w="120" w:type="dxa"/>
              <w:bottom w:w="90" w:type="dxa"/>
              <w:end w:w="120" w:type="dxa"/>
            </w:tcMar>
          </w:tcPr>
          <w:p>
            <w:pPr>
              <w:spacing w:after="0"/>
            </w:pPr>
            <w:r>
              <w:rPr>
                <w:color w:val="1E2936"/>
                <w:sz w:val="18"/>
              </w:rPr>
              <w:t>The DAG found multiple valid paths through nearby pivots.</w:t>
            </w:r>
          </w:p>
        </w:tc>
        <w:tc>
          <w:tcPr>
            <w:tcW w:type="dxa" w:w="3910"/>
            <w:vAlign w:val="center"/>
            <w:tcMar>
              <w:top w:w="90" w:type="dxa"/>
              <w:start w:w="120" w:type="dxa"/>
              <w:bottom w:w="90" w:type="dxa"/>
              <w:end w:w="120" w:type="dxa"/>
            </w:tcMar>
          </w:tcPr>
          <w:p>
            <w:pPr>
              <w:spacing w:after="0"/>
            </w:pPr>
            <w:r>
              <w:rPr>
                <w:color w:val="1E2936"/>
                <w:sz w:val="18"/>
              </w:rPr>
              <w:t>Focus one path and compare exact labels, invalidation, stage, and score.</w:t>
            </w:r>
          </w:p>
        </w:tc>
      </w:tr>
      <w:tr>
        <w:trPr>
          <w:cantSplit/>
        </w:trPr>
        <w:tc>
          <w:tcPr>
            <w:tcW w:type="dxa" w:w="1800"/>
            <w:vAlign w:val="center"/>
            <w:tcMar>
              <w:top w:w="90" w:type="dxa"/>
              <w:start w:w="120" w:type="dxa"/>
              <w:bottom w:w="90" w:type="dxa"/>
              <w:end w:w="120" w:type="dxa"/>
            </w:tcMar>
          </w:tcPr>
          <w:p>
            <w:pPr>
              <w:spacing w:after="0"/>
            </w:pPr>
            <w:r>
              <w:rPr>
                <w:color w:val="1E2936"/>
                <w:sz w:val="18"/>
              </w:rPr>
              <w:t>Scanner row differs from chart</w:t>
            </w:r>
          </w:p>
        </w:tc>
        <w:tc>
          <w:tcPr>
            <w:tcW w:type="dxa" w:w="3650"/>
            <w:vAlign w:val="center"/>
            <w:tcMar>
              <w:top w:w="90" w:type="dxa"/>
              <w:start w:w="120" w:type="dxa"/>
              <w:bottom w:w="90" w:type="dxa"/>
              <w:end w:w="120" w:type="dxa"/>
            </w:tcMar>
          </w:tcPr>
          <w:p>
            <w:pPr>
              <w:spacing w:after="0"/>
            </w:pPr>
            <w:r>
              <w:rPr>
                <w:color w:val="1E2936"/>
                <w:sz w:val="18"/>
              </w:rPr>
              <w:t>ATR settings, candidate scope, data refresh, or lifecycle changed.</w:t>
            </w:r>
          </w:p>
        </w:tc>
        <w:tc>
          <w:tcPr>
            <w:tcW w:type="dxa" w:w="3910"/>
            <w:vAlign w:val="center"/>
            <w:tcMar>
              <w:top w:w="90" w:type="dxa"/>
              <w:start w:w="120" w:type="dxa"/>
              <w:bottom w:w="90" w:type="dxa"/>
              <w:end w:w="120" w:type="dxa"/>
            </w:tcMar>
          </w:tcPr>
          <w:p>
            <w:pPr>
              <w:spacing w:after="0"/>
            </w:pPr>
            <w:r>
              <w:rPr>
                <w:color w:val="1E2936"/>
                <w:sz w:val="18"/>
              </w:rPr>
              <w:t>Match parameters and rerun the scanner immediately before inspection.</w:t>
            </w:r>
          </w:p>
        </w:tc>
      </w:tr>
      <w:tr>
        <w:trPr>
          <w:cantSplit/>
        </w:trPr>
        <w:tc>
          <w:tcPr>
            <w:tcW w:type="dxa" w:w="1800"/>
            <w:vAlign w:val="center"/>
            <w:tcMar>
              <w:top w:w="90" w:type="dxa"/>
              <w:start w:w="120" w:type="dxa"/>
              <w:bottom w:w="90" w:type="dxa"/>
              <w:end w:w="120" w:type="dxa"/>
            </w:tcMar>
          </w:tcPr>
          <w:p>
            <w:pPr>
              <w:spacing w:after="0"/>
            </w:pPr>
            <w:r>
              <w:rPr>
                <w:color w:val="1E2936"/>
                <w:sz w:val="18"/>
              </w:rPr>
              <w:t>Dashboard shows old markets</w:t>
            </w:r>
          </w:p>
        </w:tc>
        <w:tc>
          <w:tcPr>
            <w:tcW w:type="dxa" w:w="3650"/>
            <w:vAlign w:val="center"/>
            <w:tcMar>
              <w:top w:w="90" w:type="dxa"/>
              <w:start w:w="120" w:type="dxa"/>
              <w:bottom w:w="90" w:type="dxa"/>
              <w:end w:w="120" w:type="dxa"/>
            </w:tcMar>
          </w:tcPr>
          <w:p>
            <w:pPr>
              <w:spacing w:after="0"/>
            </w:pPr>
            <w:r>
              <w:rPr>
                <w:color w:val="1E2936"/>
                <w:sz w:val="18"/>
              </w:rPr>
              <w:t>The Streamlit process or browser session is stale.</w:t>
            </w:r>
          </w:p>
        </w:tc>
        <w:tc>
          <w:tcPr>
            <w:tcW w:type="dxa" w:w="3910"/>
            <w:vAlign w:val="center"/>
            <w:tcMar>
              <w:top w:w="90" w:type="dxa"/>
              <w:start w:w="120" w:type="dxa"/>
              <w:bottom w:w="90" w:type="dxa"/>
              <w:end w:w="120" w:type="dxa"/>
            </w:tcMar>
          </w:tcPr>
          <w:p>
            <w:pPr>
              <w:spacing w:after="0"/>
            </w:pPr>
            <w:r>
              <w:rPr>
                <w:color w:val="1E2936"/>
                <w:sz w:val="18"/>
              </w:rPr>
              <w:t>Restart Streamlit and hard-refresh the browser.</w:t>
            </w:r>
          </w:p>
        </w:tc>
      </w:tr>
      <w:tr>
        <w:trPr>
          <w:cantSplit/>
        </w:trPr>
        <w:tc>
          <w:tcPr>
            <w:tcW w:type="dxa" w:w="1800"/>
            <w:vAlign w:val="center"/>
            <w:tcMar>
              <w:top w:w="90" w:type="dxa"/>
              <w:start w:w="120" w:type="dxa"/>
              <w:bottom w:w="90" w:type="dxa"/>
              <w:end w:w="120" w:type="dxa"/>
            </w:tcMar>
          </w:tcPr>
          <w:p>
            <w:pPr>
              <w:spacing w:after="0"/>
            </w:pPr>
            <w:r>
              <w:rPr>
                <w:color w:val="1E2936"/>
                <w:sz w:val="18"/>
              </w:rPr>
              <w:t>Manage Passwords appears in Structure Inspector</w:t>
            </w:r>
          </w:p>
        </w:tc>
        <w:tc>
          <w:tcPr>
            <w:tcW w:type="dxa" w:w="3650"/>
            <w:vAlign w:val="center"/>
            <w:tcMar>
              <w:top w:w="90" w:type="dxa"/>
              <w:start w:w="120" w:type="dxa"/>
              <w:bottom w:w="90" w:type="dxa"/>
              <w:end w:w="120" w:type="dxa"/>
            </w:tcMar>
          </w:tcPr>
          <w:p>
            <w:pPr>
              <w:spacing w:after="0"/>
            </w:pPr>
            <w:r>
              <w:rPr>
                <w:color w:val="1E2936"/>
                <w:sz w:val="18"/>
              </w:rPr>
              <w:t>Telegram credential boxes are open, so Firefox thinks the inspector is a login box.</w:t>
            </w:r>
          </w:p>
        </w:tc>
        <w:tc>
          <w:tcPr>
            <w:tcW w:type="dxa" w:w="3910"/>
            <w:vAlign w:val="center"/>
            <w:tcMar>
              <w:top w:w="90" w:type="dxa"/>
              <w:start w:w="120" w:type="dxa"/>
              <w:bottom w:w="90" w:type="dxa"/>
              <w:end w:w="120" w:type="dxa"/>
            </w:tcMar>
          </w:tcPr>
          <w:p>
            <w:pPr>
              <w:spacing w:after="0"/>
            </w:pPr>
            <w:r>
              <w:rPr>
                <w:color w:val="1E2936"/>
                <w:sz w:val="18"/>
              </w:rPr>
              <w:t>Close or clear Configure Telegram credentials, then refresh the page.</w:t>
            </w:r>
          </w:p>
        </w:tc>
      </w:tr>
    </w:tbl>
    <w:p>
      <w:pPr>
        <w:spacing w:after="20"/>
      </w:pPr>
    </w:p>
    <w:p>
      <w:pPr>
        <w:pStyle w:val="Heading2"/>
      </w:pPr>
      <w:r>
        <w:t>Command reference</w:t>
      </w:r>
    </w:p>
    <w:tbl>
      <w:tblPr>
        <w:tblStyle w:val="TableGrid"/>
        <w:tblW w:type="auto" w:w="0"/>
        <w:jc w:val="left"/>
        <w:tblLayout w:type="fixed"/>
        <w:tblLook w:firstColumn="1" w:firstRow="1" w:lastColumn="0" w:lastRow="0" w:noHBand="0" w:noVBand="1" w:val="04A0"/>
      </w:tblPr>
      <w:tblGrid>
        <w:gridCol w:w="4939"/>
        <w:gridCol w:w="4939"/>
      </w:tblGrid>
      <w:tr>
        <w:trPr>
          <w:tblHeader w:val="true"/>
        </w:trPr>
        <w:tc>
          <w:tcPr>
            <w:tcW w:type="dxa" w:w="2500"/>
            <w:shd w:fill="E8EEF5"/>
            <w:vAlign w:val="center"/>
            <w:tcMar>
              <w:top w:w="90" w:type="dxa"/>
              <w:start w:w="120" w:type="dxa"/>
              <w:bottom w:w="90" w:type="dxa"/>
              <w:end w:w="120" w:type="dxa"/>
            </w:tcMar>
          </w:tcPr>
          <w:p>
            <w:r>
              <w:rPr>
                <w:b/>
                <w:color w:val="132238"/>
                <w:sz w:val="19"/>
              </w:rPr>
              <w:t>Task</w:t>
            </w:r>
          </w:p>
        </w:tc>
        <w:tc>
          <w:tcPr>
            <w:tcW w:type="dxa" w:w="6860"/>
            <w:shd w:fill="E8EEF5"/>
            <w:vAlign w:val="center"/>
            <w:tcMar>
              <w:top w:w="90" w:type="dxa"/>
              <w:start w:w="120" w:type="dxa"/>
              <w:bottom w:w="90" w:type="dxa"/>
              <w:end w:w="120" w:type="dxa"/>
            </w:tcMar>
          </w:tcPr>
          <w:p>
            <w:r>
              <w:rPr>
                <w:b/>
                <w:color w:val="132238"/>
                <w:sz w:val="19"/>
              </w:rPr>
              <w:t>Command</w:t>
            </w:r>
          </w:p>
        </w:tc>
      </w:tr>
      <w:tr>
        <w:trPr>
          <w:cantSplit/>
        </w:trPr>
        <w:tc>
          <w:tcPr>
            <w:tcW w:type="dxa" w:w="2500"/>
            <w:vAlign w:val="center"/>
            <w:tcMar>
              <w:top w:w="90" w:type="dxa"/>
              <w:start w:w="120" w:type="dxa"/>
              <w:bottom w:w="90" w:type="dxa"/>
              <w:end w:w="120" w:type="dxa"/>
            </w:tcMar>
          </w:tcPr>
          <w:p>
            <w:pPr>
              <w:spacing w:after="0"/>
            </w:pPr>
            <w:r>
              <w:rPr>
                <w:color w:val="1E2936"/>
                <w:sz w:val="18"/>
              </w:rPr>
              <w:t>Start dashboard</w:t>
            </w:r>
          </w:p>
        </w:tc>
        <w:tc>
          <w:tcPr>
            <w:tcW w:type="dxa" w:w="6860"/>
            <w:vAlign w:val="center"/>
            <w:tcMar>
              <w:top w:w="90" w:type="dxa"/>
              <w:start w:w="120" w:type="dxa"/>
              <w:bottom w:w="90" w:type="dxa"/>
              <w:end w:w="120" w:type="dxa"/>
            </w:tcMar>
          </w:tcPr>
          <w:p>
            <w:pPr>
              <w:spacing w:after="0"/>
            </w:pPr>
            <w:r>
              <w:rPr>
                <w:color w:val="1E2936"/>
                <w:sz w:val="18"/>
              </w:rPr>
              <w:t>python -m streamlit run app.py</w:t>
            </w:r>
          </w:p>
        </w:tc>
      </w:tr>
      <w:tr>
        <w:trPr>
          <w:cantSplit/>
        </w:trPr>
        <w:tc>
          <w:tcPr>
            <w:tcW w:type="dxa" w:w="2500"/>
            <w:vAlign w:val="center"/>
            <w:tcMar>
              <w:top w:w="90" w:type="dxa"/>
              <w:start w:w="120" w:type="dxa"/>
              <w:bottom w:w="90" w:type="dxa"/>
              <w:end w:w="120" w:type="dxa"/>
            </w:tcMar>
          </w:tcPr>
          <w:p>
            <w:pPr>
              <w:spacing w:after="0"/>
            </w:pPr>
            <w:r>
              <w:rPr>
                <w:color w:val="1E2936"/>
                <w:sz w:val="18"/>
              </w:rPr>
              <w:t>Refresh test data</w:t>
            </w:r>
          </w:p>
        </w:tc>
        <w:tc>
          <w:tcPr>
            <w:tcW w:type="dxa" w:w="6860"/>
            <w:vAlign w:val="center"/>
            <w:tcMar>
              <w:top w:w="90" w:type="dxa"/>
              <w:start w:w="120" w:type="dxa"/>
              <w:bottom w:w="90" w:type="dxa"/>
              <w:end w:w="120" w:type="dxa"/>
            </w:tcMar>
          </w:tcPr>
          <w:p>
            <w:pPr>
              <w:spacing w:after="0"/>
            </w:pPr>
            <w:r>
              <w:rPr>
                <w:color w:val="1E2936"/>
                <w:sz w:val="18"/>
              </w:rPr>
              <w:t>python market_data.py --period 60d</w:t>
            </w:r>
          </w:p>
        </w:tc>
      </w:tr>
      <w:tr>
        <w:trPr>
          <w:cantSplit/>
        </w:trPr>
        <w:tc>
          <w:tcPr>
            <w:tcW w:type="dxa" w:w="2500"/>
            <w:vAlign w:val="center"/>
            <w:tcMar>
              <w:top w:w="90" w:type="dxa"/>
              <w:start w:w="120" w:type="dxa"/>
              <w:bottom w:w="90" w:type="dxa"/>
              <w:end w:w="120" w:type="dxa"/>
            </w:tcMar>
          </w:tcPr>
          <w:p>
            <w:pPr>
              <w:spacing w:after="0"/>
            </w:pPr>
            <w:r>
              <w:rPr>
                <w:color w:val="1E2936"/>
                <w:sz w:val="18"/>
              </w:rPr>
              <w:t>Run all tests</w:t>
            </w:r>
          </w:p>
        </w:tc>
        <w:tc>
          <w:tcPr>
            <w:tcW w:type="dxa" w:w="6860"/>
            <w:vAlign w:val="center"/>
            <w:tcMar>
              <w:top w:w="90" w:type="dxa"/>
              <w:start w:w="120" w:type="dxa"/>
              <w:bottom w:w="90" w:type="dxa"/>
              <w:end w:w="120" w:type="dxa"/>
            </w:tcMar>
          </w:tcPr>
          <w:p>
            <w:pPr>
              <w:spacing w:after="0"/>
            </w:pPr>
            <w:r>
              <w:rPr>
                <w:color w:val="1E2936"/>
                <w:sz w:val="18"/>
              </w:rPr>
              <w:t>python -m pytest -q</w:t>
            </w:r>
          </w:p>
        </w:tc>
      </w:tr>
    </w:tbl>
    <w:p>
      <w:pPr>
        <w:spacing w:after="20"/>
      </w:pPr>
    </w:p>
    <w:p>
      <w:pPr>
        <w:pStyle w:val="Heading1"/>
      </w:pPr>
      <w:r>
        <w:t>Glossary</w:t>
      </w:r>
    </w:p>
    <w:tbl>
      <w:tblPr>
        <w:tblStyle w:val="TableGrid"/>
        <w:tblW w:type="auto" w:w="0"/>
        <w:jc w:val="left"/>
        <w:tblLayout w:type="fixed"/>
        <w:tblLook w:firstColumn="1" w:firstRow="1" w:lastColumn="0" w:lastRow="0" w:noHBand="0" w:noVBand="1" w:val="04A0"/>
      </w:tblPr>
      <w:tblGrid>
        <w:gridCol w:w="4939"/>
        <w:gridCol w:w="4939"/>
      </w:tblGrid>
      <w:tr>
        <w:trPr>
          <w:tblHeader w:val="true"/>
        </w:trPr>
        <w:tc>
          <w:tcPr>
            <w:tcW w:type="dxa" w:w="1950"/>
            <w:shd w:fill="E8EEF5"/>
            <w:vAlign w:val="center"/>
            <w:tcMar>
              <w:top w:w="90" w:type="dxa"/>
              <w:start w:w="120" w:type="dxa"/>
              <w:bottom w:w="90" w:type="dxa"/>
              <w:end w:w="120" w:type="dxa"/>
            </w:tcMar>
          </w:tcPr>
          <w:p>
            <w:r>
              <w:rPr>
                <w:b/>
                <w:color w:val="132238"/>
                <w:sz w:val="19"/>
              </w:rPr>
              <w:t>Term</w:t>
            </w:r>
          </w:p>
        </w:tc>
        <w:tc>
          <w:tcPr>
            <w:tcW w:type="dxa" w:w="7410"/>
            <w:shd w:fill="E8EEF5"/>
            <w:vAlign w:val="center"/>
            <w:tcMar>
              <w:top w:w="90" w:type="dxa"/>
              <w:start w:w="120" w:type="dxa"/>
              <w:bottom w:w="90" w:type="dxa"/>
              <w:end w:w="120" w:type="dxa"/>
            </w:tcMar>
          </w:tcPr>
          <w:p>
            <w:r>
              <w:rPr>
                <w:b/>
                <w:color w:val="132238"/>
                <w:sz w:val="19"/>
              </w:rPr>
              <w:t>Definition</w:t>
            </w:r>
          </w:p>
        </w:tc>
      </w:tr>
      <w:tr>
        <w:trPr>
          <w:cantSplit/>
        </w:trPr>
        <w:tc>
          <w:tcPr>
            <w:tcW w:type="dxa" w:w="1950"/>
            <w:vAlign w:val="center"/>
            <w:tcMar>
              <w:top w:w="90" w:type="dxa"/>
              <w:start w:w="120" w:type="dxa"/>
              <w:bottom w:w="90" w:type="dxa"/>
              <w:end w:w="120" w:type="dxa"/>
            </w:tcMar>
          </w:tcPr>
          <w:p>
            <w:pPr>
              <w:spacing w:after="0"/>
            </w:pPr>
            <w:r>
              <w:rPr>
                <w:color w:val="1E2936"/>
                <w:sz w:val="18"/>
              </w:rPr>
              <w:t>ATR</w:t>
            </w:r>
          </w:p>
        </w:tc>
        <w:tc>
          <w:tcPr>
            <w:tcW w:type="dxa" w:w="7410"/>
            <w:vAlign w:val="center"/>
            <w:tcMar>
              <w:top w:w="90" w:type="dxa"/>
              <w:start w:w="120" w:type="dxa"/>
              <w:bottom w:w="90" w:type="dxa"/>
              <w:end w:w="120" w:type="dxa"/>
            </w:tcMar>
          </w:tcPr>
          <w:p>
            <w:pPr>
              <w:spacing w:after="0"/>
            </w:pPr>
            <w:r>
              <w:rPr>
                <w:color w:val="1E2936"/>
                <w:sz w:val="18"/>
              </w:rPr>
              <w:t>Average True Range; the volatility scale used by the pivot threshold.</w:t>
            </w:r>
          </w:p>
        </w:tc>
      </w:tr>
      <w:tr>
        <w:trPr>
          <w:cantSplit/>
        </w:trPr>
        <w:tc>
          <w:tcPr>
            <w:tcW w:type="dxa" w:w="1950"/>
            <w:vAlign w:val="center"/>
            <w:tcMar>
              <w:top w:w="90" w:type="dxa"/>
              <w:start w:w="120" w:type="dxa"/>
              <w:bottom w:w="90" w:type="dxa"/>
              <w:end w:w="120" w:type="dxa"/>
            </w:tcMar>
          </w:tcPr>
          <w:p>
            <w:pPr>
              <w:spacing w:after="0"/>
            </w:pPr>
            <w:r>
              <w:rPr>
                <w:color w:val="1E2936"/>
                <w:sz w:val="18"/>
              </w:rPr>
              <w:t>Pivot</w:t>
            </w:r>
          </w:p>
        </w:tc>
        <w:tc>
          <w:tcPr>
            <w:tcW w:type="dxa" w:w="7410"/>
            <w:vAlign w:val="center"/>
            <w:tcMar>
              <w:top w:w="90" w:type="dxa"/>
              <w:start w:w="120" w:type="dxa"/>
              <w:bottom w:w="90" w:type="dxa"/>
              <w:end w:w="120" w:type="dxa"/>
            </w:tcMar>
          </w:tcPr>
          <w:p>
            <w:pPr>
              <w:spacing w:after="0"/>
            </w:pPr>
            <w:r>
              <w:rPr>
                <w:color w:val="1E2936"/>
                <w:sz w:val="18"/>
              </w:rPr>
              <w:t>A sequentially confirmed swing high or low with timestamp, price, type, and ATR.</w:t>
            </w:r>
          </w:p>
        </w:tc>
      </w:tr>
      <w:tr>
        <w:trPr>
          <w:cantSplit/>
        </w:trPr>
        <w:tc>
          <w:tcPr>
            <w:tcW w:type="dxa" w:w="1950"/>
            <w:vAlign w:val="center"/>
            <w:tcMar>
              <w:top w:w="90" w:type="dxa"/>
              <w:start w:w="120" w:type="dxa"/>
              <w:bottom w:w="90" w:type="dxa"/>
              <w:end w:w="120" w:type="dxa"/>
            </w:tcMar>
          </w:tcPr>
          <w:p>
            <w:pPr>
              <w:spacing w:after="0"/>
            </w:pPr>
            <w:r>
              <w:rPr>
                <w:color w:val="1E2936"/>
                <w:sz w:val="18"/>
              </w:rPr>
              <w:t>Candidate</w:t>
            </w:r>
          </w:p>
        </w:tc>
        <w:tc>
          <w:tcPr>
            <w:tcW w:type="dxa" w:w="7410"/>
            <w:vAlign w:val="center"/>
            <w:tcMar>
              <w:top w:w="90" w:type="dxa"/>
              <w:start w:w="120" w:type="dxa"/>
              <w:bottom w:w="90" w:type="dxa"/>
              <w:end w:w="120" w:type="dxa"/>
            </w:tcMar>
          </w:tcPr>
          <w:p>
            <w:pPr>
              <w:spacing w:after="0"/>
            </w:pPr>
            <w:r>
              <w:rPr>
                <w:color w:val="1E2936"/>
                <w:sz w:val="18"/>
              </w:rPr>
              <w:t>An immutable labeled path through ordered pivots.</w:t>
            </w:r>
          </w:p>
        </w:tc>
      </w:tr>
      <w:tr>
        <w:trPr>
          <w:cantSplit/>
        </w:trPr>
        <w:tc>
          <w:tcPr>
            <w:tcW w:type="dxa" w:w="1950"/>
            <w:vAlign w:val="center"/>
            <w:tcMar>
              <w:top w:w="90" w:type="dxa"/>
              <w:start w:w="120" w:type="dxa"/>
              <w:bottom w:w="90" w:type="dxa"/>
              <w:end w:w="120" w:type="dxa"/>
            </w:tcMar>
          </w:tcPr>
          <w:p>
            <w:pPr>
              <w:spacing w:after="0"/>
            </w:pPr>
            <w:r>
              <w:rPr>
                <w:color w:val="1E2936"/>
                <w:sz w:val="18"/>
              </w:rPr>
              <w:t>DAG</w:t>
            </w:r>
          </w:p>
        </w:tc>
        <w:tc>
          <w:tcPr>
            <w:tcW w:type="dxa" w:w="7410"/>
            <w:vAlign w:val="center"/>
            <w:tcMar>
              <w:top w:w="90" w:type="dxa"/>
              <w:start w:w="120" w:type="dxa"/>
              <w:bottom w:w="90" w:type="dxa"/>
              <w:end w:w="120" w:type="dxa"/>
            </w:tcMar>
          </w:tcPr>
          <w:p>
            <w:pPr>
              <w:spacing w:after="0"/>
            </w:pPr>
            <w:r>
              <w:rPr>
                <w:color w:val="1E2936"/>
                <w:sz w:val="18"/>
              </w:rPr>
              <w:t>Directed acyclic graph used to represent alternate sequential wave paths.</w:t>
            </w:r>
          </w:p>
        </w:tc>
      </w:tr>
      <w:tr>
        <w:trPr>
          <w:cantSplit/>
        </w:trPr>
        <w:tc>
          <w:tcPr>
            <w:tcW w:type="dxa" w:w="1950"/>
            <w:vAlign w:val="center"/>
            <w:tcMar>
              <w:top w:w="90" w:type="dxa"/>
              <w:start w:w="120" w:type="dxa"/>
              <w:bottom w:w="90" w:type="dxa"/>
              <w:end w:w="120" w:type="dxa"/>
            </w:tcMar>
          </w:tcPr>
          <w:p>
            <w:pPr>
              <w:spacing w:after="0"/>
            </w:pPr>
            <w:r>
              <w:rPr>
                <w:color w:val="1E2936"/>
                <w:sz w:val="18"/>
              </w:rPr>
              <w:t>Hard rule</w:t>
            </w:r>
          </w:p>
        </w:tc>
        <w:tc>
          <w:tcPr>
            <w:tcW w:type="dxa" w:w="7410"/>
            <w:vAlign w:val="center"/>
            <w:tcMar>
              <w:top w:w="90" w:type="dxa"/>
              <w:start w:w="120" w:type="dxa"/>
              <w:bottom w:w="90" w:type="dxa"/>
              <w:end w:w="120" w:type="dxa"/>
            </w:tcMar>
          </w:tcPr>
          <w:p>
            <w:pPr>
              <w:spacing w:after="0"/>
            </w:pPr>
            <w:r>
              <w:rPr>
                <w:color w:val="1E2936"/>
                <w:sz w:val="18"/>
              </w:rPr>
              <w:t>A structural requirement whose failure deletes the candidate.</w:t>
            </w:r>
          </w:p>
        </w:tc>
      </w:tr>
      <w:tr>
        <w:trPr>
          <w:cantSplit/>
        </w:trPr>
        <w:tc>
          <w:tcPr>
            <w:tcW w:type="dxa" w:w="1950"/>
            <w:vAlign w:val="center"/>
            <w:tcMar>
              <w:top w:w="90" w:type="dxa"/>
              <w:start w:w="120" w:type="dxa"/>
              <w:bottom w:w="90" w:type="dxa"/>
              <w:end w:w="120" w:type="dxa"/>
            </w:tcMar>
          </w:tcPr>
          <w:p>
            <w:pPr>
              <w:spacing w:after="0"/>
            </w:pPr>
            <w:r>
              <w:rPr>
                <w:color w:val="1E2936"/>
                <w:sz w:val="18"/>
              </w:rPr>
              <w:t>Guideline</w:t>
            </w:r>
          </w:p>
        </w:tc>
        <w:tc>
          <w:tcPr>
            <w:tcW w:type="dxa" w:w="7410"/>
            <w:vAlign w:val="center"/>
            <w:tcMar>
              <w:top w:w="90" w:type="dxa"/>
              <w:start w:w="120" w:type="dxa"/>
              <w:bottom w:w="90" w:type="dxa"/>
              <w:end w:w="120" w:type="dxa"/>
            </w:tcMar>
          </w:tcPr>
          <w:p>
            <w:pPr>
              <w:spacing w:after="0"/>
            </w:pPr>
            <w:r>
              <w:rPr>
                <w:color w:val="1E2936"/>
                <w:sz w:val="18"/>
              </w:rPr>
              <w:t>Fibonacci, momentum, or geometry evidence that changes score only.</w:t>
            </w:r>
          </w:p>
        </w:tc>
      </w:tr>
      <w:tr>
        <w:trPr>
          <w:cantSplit/>
        </w:trPr>
        <w:tc>
          <w:tcPr>
            <w:tcW w:type="dxa" w:w="1950"/>
            <w:vAlign w:val="center"/>
            <w:tcMar>
              <w:top w:w="90" w:type="dxa"/>
              <w:start w:w="120" w:type="dxa"/>
              <w:bottom w:w="90" w:type="dxa"/>
              <w:end w:w="120" w:type="dxa"/>
            </w:tcMar>
          </w:tcPr>
          <w:p>
            <w:pPr>
              <w:spacing w:after="0"/>
            </w:pPr>
            <w:r>
              <w:rPr>
                <w:color w:val="1E2936"/>
                <w:sz w:val="18"/>
              </w:rPr>
              <w:t>Invalidation</w:t>
            </w:r>
          </w:p>
        </w:tc>
        <w:tc>
          <w:tcPr>
            <w:tcW w:type="dxa" w:w="7410"/>
            <w:vAlign w:val="center"/>
            <w:tcMar>
              <w:top w:w="90" w:type="dxa"/>
              <w:start w:w="120" w:type="dxa"/>
              <w:bottom w:w="90" w:type="dxa"/>
              <w:end w:w="120" w:type="dxa"/>
            </w:tcMar>
          </w:tcPr>
          <w:p>
            <w:pPr>
              <w:spacing w:after="0"/>
            </w:pPr>
            <w:r>
              <w:rPr>
                <w:color w:val="1E2936"/>
                <w:sz w:val="18"/>
              </w:rPr>
              <w:t>Exact price boundary that breaks the active structural thesis.</w:t>
            </w:r>
          </w:p>
        </w:tc>
      </w:tr>
      <w:tr>
        <w:trPr>
          <w:cantSplit/>
        </w:trPr>
        <w:tc>
          <w:tcPr>
            <w:tcW w:type="dxa" w:w="1950"/>
            <w:vAlign w:val="center"/>
            <w:tcMar>
              <w:top w:w="90" w:type="dxa"/>
              <w:start w:w="120" w:type="dxa"/>
              <w:bottom w:w="90" w:type="dxa"/>
              <w:end w:w="120" w:type="dxa"/>
            </w:tcMar>
          </w:tcPr>
          <w:p>
            <w:pPr>
              <w:spacing w:after="0"/>
            </w:pPr>
            <w:r>
              <w:rPr>
                <w:color w:val="1E2936"/>
                <w:sz w:val="18"/>
              </w:rPr>
              <w:t>Target zone</w:t>
            </w:r>
          </w:p>
        </w:tc>
        <w:tc>
          <w:tcPr>
            <w:tcW w:type="dxa" w:w="7410"/>
            <w:vAlign w:val="center"/>
            <w:tcMar>
              <w:top w:w="90" w:type="dxa"/>
              <w:start w:w="120" w:type="dxa"/>
              <w:bottom w:w="90" w:type="dxa"/>
              <w:end w:w="120" w:type="dxa"/>
            </w:tcMar>
          </w:tcPr>
          <w:p>
            <w:pPr>
              <w:spacing w:after="0"/>
            </w:pPr>
            <w:r>
              <w:rPr>
                <w:color w:val="1E2936"/>
                <w:sz w:val="18"/>
              </w:rPr>
              <w:t>A Fibonacci projection interval used as a planning reference.</w:t>
            </w:r>
          </w:p>
        </w:tc>
      </w:tr>
      <w:tr>
        <w:trPr>
          <w:cantSplit/>
        </w:trPr>
        <w:tc>
          <w:tcPr>
            <w:tcW w:type="dxa" w:w="1950"/>
            <w:vAlign w:val="center"/>
            <w:tcMar>
              <w:top w:w="90" w:type="dxa"/>
              <w:start w:w="120" w:type="dxa"/>
              <w:bottom w:w="90" w:type="dxa"/>
              <w:end w:w="120" w:type="dxa"/>
            </w:tcMar>
          </w:tcPr>
          <w:p>
            <w:pPr>
              <w:spacing w:after="0"/>
            </w:pPr>
            <w:r>
              <w:rPr>
                <w:color w:val="1E2936"/>
                <w:sz w:val="18"/>
              </w:rPr>
              <w:t>Forming</w:t>
            </w:r>
          </w:p>
        </w:tc>
        <w:tc>
          <w:tcPr>
            <w:tcW w:type="dxa" w:w="7410"/>
            <w:vAlign w:val="center"/>
            <w:tcMar>
              <w:top w:w="90" w:type="dxa"/>
              <w:start w:w="120" w:type="dxa"/>
              <w:bottom w:w="90" w:type="dxa"/>
              <w:end w:w="120" w:type="dxa"/>
            </w:tcMar>
          </w:tcPr>
          <w:p>
            <w:pPr>
              <w:spacing w:after="0"/>
            </w:pPr>
            <w:r>
              <w:rPr>
                <w:color w:val="1E2936"/>
                <w:sz w:val="18"/>
              </w:rPr>
              <w:t>Provisional structure that has not reached the tradeable terminal pivot.</w:t>
            </w:r>
          </w:p>
        </w:tc>
      </w:tr>
      <w:tr>
        <w:trPr>
          <w:cantSplit/>
        </w:trPr>
        <w:tc>
          <w:tcPr>
            <w:tcW w:type="dxa" w:w="1950"/>
            <w:vAlign w:val="center"/>
            <w:tcMar>
              <w:top w:w="90" w:type="dxa"/>
              <w:start w:w="120" w:type="dxa"/>
              <w:bottom w:w="90" w:type="dxa"/>
              <w:end w:w="120" w:type="dxa"/>
            </w:tcMar>
          </w:tcPr>
          <w:p>
            <w:pPr>
              <w:spacing w:after="0"/>
            </w:pPr>
            <w:r>
              <w:rPr>
                <w:color w:val="1E2936"/>
                <w:sz w:val="18"/>
              </w:rPr>
              <w:t>EntryReady</w:t>
            </w:r>
          </w:p>
        </w:tc>
        <w:tc>
          <w:tcPr>
            <w:tcW w:type="dxa" w:w="7410"/>
            <w:vAlign w:val="center"/>
            <w:tcMar>
              <w:top w:w="90" w:type="dxa"/>
              <w:start w:w="120" w:type="dxa"/>
              <w:bottom w:w="90" w:type="dxa"/>
              <w:end w:w="120" w:type="dxa"/>
            </w:tcMar>
          </w:tcPr>
          <w:p>
            <w:pPr>
              <w:spacing w:after="0"/>
            </w:pPr>
            <w:r>
              <w:rPr>
                <w:color w:val="1E2936"/>
                <w:sz w:val="18"/>
              </w:rPr>
              <w:t>Partial structure ending at a completed Wave 4 or Wave B.</w:t>
            </w:r>
          </w:p>
        </w:tc>
      </w:tr>
      <w:tr>
        <w:trPr>
          <w:cantSplit/>
        </w:trPr>
        <w:tc>
          <w:tcPr>
            <w:tcW w:type="dxa" w:w="1950"/>
            <w:vAlign w:val="center"/>
            <w:tcMar>
              <w:top w:w="90" w:type="dxa"/>
              <w:start w:w="120" w:type="dxa"/>
              <w:bottom w:w="90" w:type="dxa"/>
              <w:end w:w="120" w:type="dxa"/>
            </w:tcMar>
          </w:tcPr>
          <w:p>
            <w:pPr>
              <w:spacing w:after="0"/>
            </w:pPr>
            <w:r>
              <w:rPr>
                <w:color w:val="1E2936"/>
                <w:sz w:val="18"/>
              </w:rPr>
              <w:t>Lifecycle</w:t>
            </w:r>
          </w:p>
        </w:tc>
        <w:tc>
          <w:tcPr>
            <w:tcW w:type="dxa" w:w="7410"/>
            <w:vAlign w:val="center"/>
            <w:tcMar>
              <w:top w:w="90" w:type="dxa"/>
              <w:start w:w="120" w:type="dxa"/>
              <w:bottom w:w="90" w:type="dxa"/>
              <w:end w:w="120" w:type="dxa"/>
            </w:tcMar>
          </w:tcPr>
          <w:p>
            <w:pPr>
              <w:spacing w:after="0"/>
            </w:pPr>
            <w:r>
              <w:rPr>
                <w:color w:val="1E2936"/>
                <w:sz w:val="18"/>
              </w:rPr>
              <w:t>Current relevance of the candidate at the latest available price.</w:t>
            </w:r>
          </w:p>
        </w:tc>
      </w:tr>
      <w:tr>
        <w:trPr>
          <w:cantSplit/>
        </w:trPr>
        <w:tc>
          <w:tcPr>
            <w:tcW w:type="dxa" w:w="1950"/>
            <w:vAlign w:val="center"/>
            <w:tcMar>
              <w:top w:w="90" w:type="dxa"/>
              <w:start w:w="120" w:type="dxa"/>
              <w:bottom w:w="90" w:type="dxa"/>
              <w:end w:w="120" w:type="dxa"/>
            </w:tcMar>
          </w:tcPr>
          <w:p>
            <w:pPr>
              <w:spacing w:after="0"/>
            </w:pPr>
            <w:r>
              <w:rPr>
                <w:color w:val="1E2936"/>
                <w:sz w:val="18"/>
              </w:rPr>
              <w:t>Confidence Score</w:t>
            </w:r>
          </w:p>
        </w:tc>
        <w:tc>
          <w:tcPr>
            <w:tcW w:type="dxa" w:w="7410"/>
            <w:vAlign w:val="center"/>
            <w:tcMar>
              <w:top w:w="90" w:type="dxa"/>
              <w:start w:w="120" w:type="dxa"/>
              <w:bottom w:w="90" w:type="dxa"/>
              <w:end w:w="120" w:type="dxa"/>
            </w:tcMar>
          </w:tcPr>
          <w:p>
            <w:pPr>
              <w:spacing w:after="0"/>
            </w:pPr>
            <w:r>
              <w:rPr>
                <w:color w:val="1E2936"/>
                <w:sz w:val="18"/>
              </w:rPr>
              <w:t>Auditable guideline ranking out of 100; not a probability.</w:t>
            </w:r>
          </w:p>
        </w:tc>
      </w:tr>
    </w:tbl>
    <w:p>
      <w:pPr>
        <w:spacing w:after="20"/>
      </w:pPr>
    </w:p>
    <w:p>
      <w:pPr>
        <w:pStyle w:val="Heading1"/>
      </w:pPr>
      <w:r>
        <w:t>Final operating principle</w:t>
      </w:r>
    </w:p>
    <w:tbl>
      <w:tblPr>
        <w:tblW w:type="auto" w:w="0"/>
        <w:jc w:val="left"/>
        <w:tblLayout w:type="fixed"/>
        <w:tblLook w:firstColumn="1" w:firstRow="1" w:lastColumn="0" w:lastRow="0" w:noHBand="0" w:noVBand="1" w:val="04A0"/>
      </w:tblPr>
      <w:tblGrid>
        <w:gridCol w:w="9878"/>
      </w:tblGrid>
      <w:tr>
        <w:tc>
          <w:tcPr>
            <w:tcW w:type="dxa" w:w="9360"/>
            <w:shd w:fill="F4F6F9"/>
            <w:tcMar>
              <w:top w:w="120" w:type="dxa"/>
              <w:start w:w="160" w:type="dxa"/>
              <w:bottom w:w="120" w:type="dxa"/>
              <w:end w:w="160" w:type="dxa"/>
            </w:tcMar>
          </w:tcPr>
          <w:p>
            <w:pPr>
              <w:spacing w:after="0"/>
            </w:pPr>
            <w:r>
              <w:rPr>
                <w:b/>
                <w:color w:val="168A62"/>
              </w:rPr>
              <w:t xml:space="preserve">Use the terminal as a falsification engine: </w:t>
            </w:r>
            <w:r>
              <w:rPr>
                <w:color w:val="1E2936"/>
              </w:rPr>
              <w:t>Start by asking what price, rule, data condition, or risk limit would make the thesis wrong. Only then consider targets. The system is most valuable when it prevents weak trades, not when it decorates charts.</w:t>
            </w:r>
          </w:p>
        </w:tc>
      </w:tr>
    </w:tbl>
    <w:p>
      <w:pPr>
        <w:spacing w:after="20"/>
      </w:pP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184"/>
        <w:sz w:val="16"/>
      </w:rPr>
      <w:t>This tool gives information only. It does not guarantee profit.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47184"/>
        <w:sz w:val="16"/>
      </w:rPr>
      <w:t>ELLIOTT WAVE TERMINAL  |  SIMPLE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9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976A3"/>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976A3"/>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3223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Elliott Wave Terminal User Guide</dc:title>
  <dc:subject>Simple user guide for the Elliott Wave decision-support dashboard</dc:subject>
  <dc:creator>Elliott Wave DSS Project</dc:creator>
  <cp:keywords>Elliott Wave, decision support, user guide, trading, Streamlit</cp:keywords>
  <dc:description>generated by python-docx</dc:description>
  <cp:lastModifiedBy/>
  <cp:revision>1</cp:revision>
  <dcterms:created xsi:type="dcterms:W3CDTF">2013-12-23T23:15:00Z</dcterms:created>
  <dcterms:modified xsi:type="dcterms:W3CDTF">2013-12-23T23:15:00Z</dcterms:modified>
  <cp:category/>
</cp:coreProperties>
</file>