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Scraping Sources &amp; Advisors Reference</w:t>
      </w:r>
    </w:p>
    <w:p>
      <w:r>
        <w:rPr>
          <w:sz w:val="20"/>
        </w:rPr>
        <w:t xml:space="preserve">Standalone reference document — not read by any script, safe to edit or delete without affecting the tool. Lists every source the Expert Commentary Scraper pulls from, as configured in </w:t>
      </w:r>
      <w:r>
        <w:rPr>
          <w:rFonts w:ascii="Consolas" w:hAnsi="Consolas"/>
          <w:sz w:val="20"/>
        </w:rPr>
        <w:t>sources_config.json</w:t>
      </w:r>
      <w:r>
        <w:rPr>
          <w:sz w:val="20"/>
        </w:rPr>
        <w:t xml:space="preserve"> and </w:t>
      </w:r>
      <w:r>
        <w:rPr>
          <w:rFonts w:ascii="Consolas" w:hAnsi="Consolas"/>
          <w:sz w:val="20"/>
        </w:rPr>
        <w:t>email-scraper/vendors.json</w:t>
      </w:r>
      <w:r>
        <w:rPr>
          <w:sz w:val="20"/>
        </w:rPr>
        <w:t>. No topic/keyword filter is applied on either side — every article/newsletter found is kept, subject only to the specific exclusions noted below (invitations/events, reply-forward threads).</w:t>
      </w:r>
    </w:p>
    <w:p>
      <w:r>
        <w:rPr>
          <w:sz w:val="20"/>
        </w:rPr>
        <w:t>Last checked against the live config: 2026-08-17.</w:t>
      </w:r>
    </w:p>
    <w:p>
      <w:pPr>
        <w:pStyle w:val="Heading2"/>
      </w:pPr>
      <w:r>
        <w:t>1. Websites scraped (web sources)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484"/>
            <w:shd w:val="clear" w:color="auto" w:fill="2E2E2E"/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2484"/>
            <w:shd w:val="clear" w:color="auto" w:fill="2E2E2E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5796"/>
            <w:shd w:val="clear" w:color="auto" w:fill="2E2E2E"/>
          </w:tcPr>
          <w:p>
            <w:r>
              <w:rPr>
                <w:b/>
                <w:color w:val="FFFFFF"/>
                <w:sz w:val="20"/>
              </w:rPr>
              <w:t>What's scraped</w:t>
            </w:r>
          </w:p>
        </w:tc>
        <w:tc>
          <w:tcPr>
            <w:tcW w:type="dxa" w:w="2484"/>
            <w:shd w:val="clear" w:color="auto" w:fill="2E2E2E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Atlantic Council</w:t>
            </w:r>
          </w:p>
        </w:tc>
        <w:tc>
          <w:tcPr>
            <w:tcW w:type="dxa" w:w="2484"/>
          </w:tcPr>
          <w:p>
            <w:hyperlink r:id="rId9">
              <w:r>
                <w:rPr>
                  <w:color w:val="1155CC"/>
                  <w:u w:val="single"/>
                </w:rPr>
                <w:t>atlanticcouncil.org/dispatches</w:t>
              </w:r>
            </w:hyperlink>
          </w:p>
        </w:tc>
        <w:tc>
          <w:tcPr>
            <w:tcW w:type="dxa" w:w="5796"/>
          </w:tcPr>
          <w:p>
            <w:r>
              <w:rPr>
                <w:sz w:val="18"/>
              </w:rPr>
              <w:t>Title, link, publish date, full article body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"Dispatches" listing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CSIS</w:t>
            </w:r>
          </w:p>
        </w:tc>
        <w:tc>
          <w:tcPr>
            <w:tcW w:type="dxa" w:w="2484"/>
          </w:tcPr>
          <w:p>
            <w:hyperlink r:id="rId10">
              <w:r>
                <w:rPr>
                  <w:color w:val="1155CC"/>
                  <w:u w:val="single"/>
                </w:rPr>
                <w:t>csis.org/analysis</w:t>
              </w:r>
            </w:hyperlink>
          </w:p>
        </w:tc>
        <w:tc>
          <w:tcPr>
            <w:tcW w:type="dxa" w:w="5796"/>
          </w:tcPr>
          <w:p>
            <w:r>
              <w:rPr>
                <w:sz w:val="18"/>
              </w:rPr>
              <w:t>Title, link, publish date, full article body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"Analysis" listing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CFR</w:t>
            </w:r>
          </w:p>
        </w:tc>
        <w:tc>
          <w:tcPr>
            <w:tcW w:type="dxa" w:w="2484"/>
          </w:tcPr>
          <w:p>
            <w:hyperlink r:id="rId11">
              <w:r>
                <w:rPr>
                  <w:color w:val="1155CC"/>
                  <w:u w:val="single"/>
                </w:rPr>
                <w:t>cfr.org/expert-takes</w:t>
              </w:r>
            </w:hyperlink>
          </w:p>
        </w:tc>
        <w:tc>
          <w:tcPr>
            <w:tcW w:type="dxa" w:w="5796"/>
          </w:tcPr>
          <w:p>
            <w:r>
              <w:rPr>
                <w:sz w:val="18"/>
              </w:rPr>
              <w:t>Title, link, publish date, full article body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"Expert Takes" listing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Chatham House</w:t>
            </w:r>
          </w:p>
        </w:tc>
        <w:tc>
          <w:tcPr>
            <w:tcW w:type="dxa" w:w="2484"/>
          </w:tcPr>
          <w:p>
            <w:hyperlink r:id="rId12">
              <w:r>
                <w:rPr>
                  <w:color w:val="1155CC"/>
                  <w:u w:val="single"/>
                </w:rPr>
                <w:t>chathamhouse.org/search/content_format/Expert Comment</w:t>
              </w:r>
            </w:hyperlink>
          </w:p>
        </w:tc>
        <w:tc>
          <w:tcPr>
            <w:tcW w:type="dxa" w:w="5796"/>
          </w:tcPr>
          <w:p>
            <w:r>
              <w:rPr>
                <w:sz w:val="18"/>
              </w:rPr>
              <w:t>Title, link, publish date, full article body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Fetched via a real headless browser session (Playwright), not a plain HTTP request — the site blocks plain HTTP clients with an intermittent 403 (bot detection), but not real browsers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Lowy Institute</w:t>
            </w:r>
          </w:p>
        </w:tc>
        <w:tc>
          <w:tcPr>
            <w:tcW w:type="dxa" w:w="2484"/>
          </w:tcPr>
          <w:p>
            <w:hyperlink r:id="rId13">
              <w:r>
                <w:rPr>
                  <w:color w:val="1155CC"/>
                  <w:u w:val="single"/>
                </w:rPr>
                <w:t>lowyinstitute.org/the-interpreter (RSS)</w:t>
              </w:r>
            </w:hyperlink>
          </w:p>
        </w:tc>
        <w:tc>
          <w:tcPr>
            <w:tcW w:type="dxa" w:w="5796"/>
          </w:tcPr>
          <w:p>
            <w:r>
              <w:rPr>
                <w:sz w:val="18"/>
              </w:rPr>
              <w:t>Title, link, publish date, full article body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Via RSS feed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China Macro Group</w:t>
            </w:r>
          </w:p>
        </w:tc>
        <w:tc>
          <w:tcPr>
            <w:tcW w:type="dxa" w:w="2484"/>
          </w:tcPr>
          <w:p>
            <w:hyperlink r:id="rId14">
              <w:r>
                <w:rPr>
                  <w:color w:val="1155CC"/>
                  <w:u w:val="single"/>
                </w:rPr>
                <w:t>chinamacro.ch/insights</w:t>
              </w:r>
            </w:hyperlink>
          </w:p>
        </w:tc>
        <w:tc>
          <w:tcPr>
            <w:tcW w:type="dxa" w:w="5796"/>
          </w:tcPr>
          <w:p>
            <w:r>
              <w:rPr>
                <w:sz w:val="18"/>
              </w:rPr>
              <w:t>Title, link, listing excerpt (only month-level date for most posts)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"Insights" listing (Wix). Full article body is not reachable via a plain HTTP fetch — the rich content lazy-loads client-side, so only the listing's own excerpt is captured; this is a real ceiling of the current approach, not a bug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Deloitte Insights</w:t>
            </w:r>
          </w:p>
        </w:tc>
        <w:tc>
          <w:tcPr>
            <w:tcW w:type="dxa" w:w="2484"/>
          </w:tcPr>
          <w:p>
            <w:hyperlink r:id="rId15">
              <w:r>
                <w:rPr>
                  <w:color w:val="1155CC"/>
                  <w:u w:val="single"/>
                </w:rPr>
                <w:t>deloitte.com/us/en/insights</w:t>
              </w:r>
            </w:hyperlink>
            <w:r>
              <w:rPr>
                <w:sz w:val="18"/>
              </w:rPr>
              <w:t xml:space="preserve"> (via Deloitte's public sitemap, not this page directly)</w:t>
            </w:r>
          </w:p>
        </w:tc>
        <w:tc>
          <w:tcPr>
            <w:tcW w:type="dxa" w:w="5796"/>
          </w:tcPr>
          <w:p>
            <w:r>
              <w:rPr>
                <w:sz w:val="18"/>
              </w:rPr>
              <w:t>Title, link, publish date, full article body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 xml:space="preserve">No usable dated listing page exists (client-side rendered), so this source instead reads Deloitte's public XML sitemap and visits each recent </w:t>
            </w:r>
            <w:r>
              <w:rPr>
                <w:rFonts w:ascii="Consolas" w:hAnsi="Consolas"/>
                <w:sz w:val="18"/>
              </w:rPr>
              <w:t>/insights/</w:t>
            </w:r>
            <w:r>
              <w:rPr>
                <w:sz w:val="18"/>
              </w:rPr>
              <w:t xml:space="preserve"> candidate page. Only pages confirmed to carry real </w:t>
            </w:r>
            <w:r>
              <w:rPr>
                <w:rFonts w:ascii="Consolas" w:hAnsi="Consolas"/>
                <w:sz w:val="18"/>
              </w:rPr>
              <w:t>Article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NewsArticle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BlogPosting</w:t>
            </w:r>
            <w:r>
              <w:rPr>
                <w:sz w:val="18"/>
              </w:rPr>
              <w:t xml:space="preserve"> structured data are kept — added 2026-08-14 to stop topic/tracker/dashboard pages (e.g. "ConsumerSignals") from being picked up as if they were dated articles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World Economic Forum (WEF)</w:t>
            </w:r>
          </w:p>
        </w:tc>
        <w:tc>
          <w:tcPr>
            <w:tcW w:type="dxa" w:w="2484"/>
          </w:tcPr>
          <w:p>
            <w:hyperlink r:id="rId16">
              <w:r>
                <w:rPr>
                  <w:color w:val="1155CC"/>
                  <w:u w:val="single"/>
                </w:rPr>
                <w:t>weforum.org/publications</w:t>
              </w:r>
            </w:hyperlink>
          </w:p>
        </w:tc>
        <w:tc>
          <w:tcPr>
            <w:tcW w:type="dxa" w:w="5796"/>
          </w:tcPr>
          <w:p>
            <w:r>
              <w:rPr>
                <w:sz w:val="18"/>
              </w:rPr>
              <w:t>Title, link, publish date, full text extracted from the linked PDF report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Listing fetched via a real headless browser session (Playwright) — the site blocks plain HTTP clients entirely. As of 2026-08-17, most listing cards have no description at all (a majority, not a rare case — 12 of 19 checked), so "Full Text" now comes from the linked PDF report itself: each article's own page is visited (also via Playwright, same block applies there) to find its "Download PDF" link, then the PDF is downloaded directly (</w:t>
            </w:r>
            <w:r>
              <w:rPr>
                <w:rFonts w:ascii="Consolas" w:hAnsi="Consolas"/>
                <w:sz w:val="18"/>
              </w:rPr>
              <w:t>reports.weforum.org</w:t>
            </w:r>
            <w:r>
              <w:rPr>
                <w:sz w:val="18"/>
              </w:rPr>
              <w:t xml:space="preserve"> has no bot-block at all, confirmed 5/5) and its text extracted (</w:t>
            </w:r>
            <w:r>
              <w:rPr>
                <w:rFonts w:ascii="Consolas" w:hAnsi="Consolas"/>
                <w:sz w:val="18"/>
              </w:rPr>
              <w:t>pypdf</w:t>
            </w:r>
            <w:r>
              <w:rPr>
                <w:sz w:val="18"/>
              </w:rPr>
              <w:t>). Falls back to the listing description, then a visible "nothing available" placeholder, only if no PDF is found. Reports run 75K-145K real characters — always truncated to Excel's 32,767-char cell limit with a visible marker, same as any other oversized row</w:t>
            </w:r>
          </w:p>
        </w:tc>
      </w:tr>
    </w:tbl>
    <w:p/>
    <w:p>
      <w:pPr>
        <w:pStyle w:val="Heading2"/>
      </w:pPr>
      <w:r>
        <w:t>2. Advisors scraped via email (vendor newsletters)</w:t>
      </w:r>
    </w:p>
    <w:p>
      <w:r>
        <w:rPr>
          <w:sz w:val="20"/>
        </w:rPr>
        <w:t xml:space="preserve">Matches ANY sender at the vendor's domain — not specific people, not subject-line tags. Any email whose subject starts with </w:t>
      </w:r>
      <w:r>
        <w:rPr>
          <w:rFonts w:ascii="Consolas" w:hAnsi="Consolas"/>
          <w:sz w:val="20"/>
        </w:rPr>
        <w:t>RE:</w:t>
      </w:r>
      <w:r>
        <w:rPr>
          <w:sz w:val="20"/>
        </w:rPr>
        <w:t xml:space="preserve"> / </w:t>
      </w:r>
      <w:r>
        <w:rPr>
          <w:rFonts w:ascii="Consolas" w:hAnsi="Consolas"/>
          <w:sz w:val="20"/>
        </w:rPr>
        <w:t>FW:</w:t>
      </w:r>
      <w:r>
        <w:rPr>
          <w:sz w:val="20"/>
        </w:rPr>
        <w:t xml:space="preserve"> / </w:t>
      </w:r>
      <w:r>
        <w:rPr>
          <w:rFonts w:ascii="Consolas" w:hAnsi="Consolas"/>
          <w:sz w:val="20"/>
        </w:rPr>
        <w:t>Fwd:</w:t>
      </w:r>
      <w:r>
        <w:rPr>
          <w:sz w:val="20"/>
        </w:rPr>
        <w:t xml:space="preserve"> is excluded across every vendor below (personal correspondence, not a newsletter broadcast).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344"/>
            <w:shd w:val="clear" w:color="auto" w:fill="2E2E2E"/>
          </w:tcPr>
          <w:p>
            <w:r>
              <w:rPr>
                <w:b/>
                <w:color w:val="FFFFFF"/>
                <w:sz w:val="20"/>
              </w:rPr>
              <w:t>Advisor</w:t>
            </w:r>
          </w:p>
        </w:tc>
        <w:tc>
          <w:tcPr>
            <w:tcW w:type="dxa" w:w="2688"/>
            <w:shd w:val="clear" w:color="auto" w:fill="2E2E2E"/>
          </w:tcPr>
          <w:p>
            <w:r>
              <w:rPr>
                <w:b/>
                <w:color w:val="FFFFFF"/>
                <w:sz w:val="20"/>
              </w:rPr>
              <w:t>Domain matched</w:t>
            </w:r>
          </w:p>
        </w:tc>
        <w:tc>
          <w:tcPr>
            <w:tcW w:type="dxa" w:w="4992"/>
            <w:shd w:val="clear" w:color="auto" w:fill="2E2E2E"/>
          </w:tcPr>
          <w:p>
            <w:r>
              <w:rPr>
                <w:b/>
                <w:color w:val="FFFFFF"/>
                <w:sz w:val="20"/>
              </w:rPr>
              <w:t>Newsletter formats scraped</w:t>
            </w:r>
          </w:p>
        </w:tc>
        <w:tc>
          <w:tcPr>
            <w:tcW w:type="dxa" w:w="4224"/>
            <w:shd w:val="clear" w:color="auto" w:fill="2E2E2E"/>
          </w:tcPr>
          <w:p>
            <w:r>
              <w:rPr>
                <w:b/>
                <w:color w:val="FFFFFF"/>
                <w:sz w:val="20"/>
              </w:rPr>
              <w:t>Excluded (not scraped)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Signum</w:t>
            </w:r>
          </w:p>
        </w:tc>
        <w:tc>
          <w:tcPr>
            <w:tcW w:type="dxa" w:w="2688"/>
          </w:tcPr>
          <w:p>
            <w:r>
              <w:rPr>
                <w:rFonts w:ascii="Consolas" w:hAnsi="Consolas"/>
                <w:sz w:val="18"/>
              </w:rPr>
              <w:t>signumglobal.com</w:t>
            </w:r>
          </w:p>
        </w:tc>
        <w:tc>
          <w:tcPr>
            <w:tcW w:type="dxa" w:w="4992"/>
          </w:tcPr>
          <w:p>
            <w:r>
              <w:rPr>
                <w:sz w:val="18"/>
              </w:rPr>
              <w:t>"Signum" (named country/topic reports, e.g. "SIGNUM: Iran: ...")</w:t>
            </w:r>
          </w:p>
        </w:tc>
        <w:tc>
          <w:tcPr>
            <w:tcW w:type="dxa" w:w="4224"/>
          </w:tcPr>
          <w:p>
            <w:r>
              <w:rPr>
                <w:sz w:val="18"/>
              </w:rPr>
              <w:t xml:space="preserve">Event/invitation emails: "SIGNUM Zoom", "SIGNUM Investor Trip", "SIGNUM Policy Day" (any city), and a general "SIGNUM Event" catch-all for the shared </w:t>
            </w:r>
            <w:r>
              <w:rPr>
                <w:rFonts w:ascii="Consolas" w:hAnsi="Consolas"/>
                <w:sz w:val="18"/>
              </w:rPr>
              <w:t>SIGNUM &lt;word(s)&gt;:</w:t>
            </w:r>
            <w:r>
              <w:rPr>
                <w:sz w:val="18"/>
              </w:rPr>
              <w:t xml:space="preserve"> invitation shape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Eurasia Group</w:t>
            </w:r>
          </w:p>
        </w:tc>
        <w:tc>
          <w:tcPr>
            <w:tcW w:type="dxa" w:w="2688"/>
          </w:tcPr>
          <w:p>
            <w:r>
              <w:rPr>
                <w:rFonts w:ascii="Consolas" w:hAnsi="Consolas"/>
                <w:sz w:val="18"/>
              </w:rPr>
              <w:t>eurasiagroup.net</w:t>
            </w:r>
          </w:p>
        </w:tc>
        <w:tc>
          <w:tcPr>
            <w:tcW w:type="dxa" w:w="4992"/>
          </w:tcPr>
          <w:p>
            <w:r>
              <w:rPr>
                <w:sz w:val="18"/>
              </w:rPr>
              <w:t>"EG Update" and "EG Daily Brief" — both rich multi-section digests, split into one row per topic/section (a single email can produce several rows); "Daily Research Summary"; generic "Eurasia Group" internal threads</w:t>
            </w:r>
          </w:p>
        </w:tc>
        <w:tc>
          <w:tcPr>
            <w:tcW w:type="dxa" w:w="4224"/>
          </w:tcPr>
          <w:p>
            <w:r>
              <w:rPr>
                <w:sz w:val="18"/>
              </w:rPr>
              <w:t>"EG Conference Call" (call invitations)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Middle East Council on Global Affairs</w:t>
            </w:r>
          </w:p>
        </w:tc>
        <w:tc>
          <w:tcPr>
            <w:tcW w:type="dxa" w:w="2688"/>
          </w:tcPr>
          <w:p>
            <w:r>
              <w:rPr>
                <w:rFonts w:ascii="Consolas" w:hAnsi="Consolas"/>
                <w:sz w:val="18"/>
              </w:rPr>
              <w:t>mecouncil.org</w:t>
            </w:r>
          </w:p>
        </w:tc>
        <w:tc>
          <w:tcPr>
            <w:tcW w:type="dxa" w:w="4992"/>
          </w:tcPr>
          <w:p>
            <w:r>
              <w:rPr>
                <w:sz w:val="18"/>
              </w:rPr>
              <w:t xml:space="preserve">"Daily Brief" (subject pattern </w:t>
            </w:r>
            <w:r>
              <w:rPr>
                <w:rFonts w:ascii="Consolas" w:hAnsi="Consolas"/>
                <w:sz w:val="18"/>
              </w:rPr>
              <w:t>Daily Brief | &lt;date&gt;</w:t>
            </w:r>
            <w:r>
              <w:rPr>
                <w:sz w:val="18"/>
              </w:rPr>
              <w:t>); anything else kept whole under the advisor's own name</w:t>
            </w:r>
          </w:p>
        </w:tc>
        <w:tc>
          <w:tcPr>
            <w:tcW w:type="dxa" w:w="4224"/>
          </w:tcPr>
          <w:p>
            <w:r>
              <w:rPr>
                <w:sz w:val="18"/>
              </w:rPr>
              <w:t>None defined yet — only one real email sample seen so far (2026-08-05)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Vriens &amp; Partners</w:t>
            </w:r>
          </w:p>
        </w:tc>
        <w:tc>
          <w:tcPr>
            <w:tcW w:type="dxa" w:w="2688"/>
          </w:tcPr>
          <w:p>
            <w:r>
              <w:rPr>
                <w:rFonts w:ascii="Consolas" w:hAnsi="Consolas"/>
                <w:sz w:val="18"/>
              </w:rPr>
              <w:t>vrienspartners.com</w:t>
            </w:r>
          </w:p>
        </w:tc>
        <w:tc>
          <w:tcPr>
            <w:tcW w:type="dxa" w:w="4992"/>
          </w:tcPr>
          <w:p>
            <w:r>
              <w:rPr>
                <w:sz w:val="18"/>
              </w:rPr>
              <w:t>Kept whole under the advisor's own name (no dedicated newsletter-name detection yet)</w:t>
            </w:r>
          </w:p>
        </w:tc>
        <w:tc>
          <w:tcPr>
            <w:tcW w:type="dxa" w:w="4224"/>
          </w:tcPr>
          <w:p>
            <w:r>
              <w:rPr>
                <w:sz w:val="18"/>
              </w:rPr>
              <w:t>None defined yet — domain confirmed correct via web search, but no real email has arrived in this mailbox yet to see what their format actually looks like</w:t>
            </w:r>
          </w:p>
        </w:tc>
      </w:tr>
    </w:tbl>
    <w:p/>
    <w:p>
      <w:pPr>
        <w:pStyle w:val="Heading2"/>
      </w:pPr>
      <w:r>
        <w:t>Keeping this current</w:t>
      </w:r>
    </w:p>
    <w:p>
      <w:r>
        <w:rPr>
          <w:sz w:val="20"/>
        </w:rPr>
        <w:t xml:space="preserve">This is a snapshot, not a live view. If a source is added, removed, or its scraping behavior changes, this file needs a manual update — check </w:t>
      </w:r>
      <w:r>
        <w:rPr>
          <w:rFonts w:ascii="Consolas" w:hAnsi="Consolas"/>
          <w:sz w:val="20"/>
        </w:rPr>
        <w:t>sources_config.json</w:t>
      </w:r>
      <w:r>
        <w:rPr>
          <w:sz w:val="20"/>
        </w:rPr>
        <w:t xml:space="preserve"> (web sources) and </w:t>
      </w:r>
      <w:r>
        <w:rPr>
          <w:rFonts w:ascii="Consolas" w:hAnsi="Consolas"/>
          <w:sz w:val="20"/>
        </w:rPr>
        <w:t>email-scraper/vendors.json</w:t>
      </w:r>
      <w:r>
        <w:rPr>
          <w:sz w:val="20"/>
        </w:rPr>
        <w:t xml:space="preserve"> + the individual </w:t>
      </w:r>
      <w:r>
        <w:rPr>
          <w:rFonts w:ascii="Consolas" w:hAnsi="Consolas"/>
          <w:sz w:val="20"/>
        </w:rPr>
        <w:t>email-scraper/*_parser.py</w:t>
      </w:r>
      <w:r>
        <w:rPr>
          <w:sz w:val="20"/>
        </w:rPr>
        <w:t xml:space="preserve"> modules (advisor newsletter formats and exclusions) for the current ground truth.</w:t>
      </w:r>
    </w:p>
    <w:p>
      <w:r>
        <w:rPr>
          <w:sz w:val="20"/>
        </w:rPr>
        <w:t xml:space="preserve">The </w:t>
      </w:r>
      <w:r>
        <w:rPr>
          <w:rFonts w:ascii="Consolas" w:hAnsi="Consolas"/>
          <w:sz w:val="20"/>
        </w:rPr>
        <w:t>.docx</w:t>
      </w:r>
      <w:r>
        <w:rPr>
          <w:sz w:val="20"/>
        </w:rPr>
        <w:t xml:space="preserve"> version of this document (</w:t>
      </w:r>
      <w:r>
        <w:rPr>
          <w:rFonts w:ascii="Consolas" w:hAnsi="Consolas"/>
          <w:sz w:val="20"/>
        </w:rPr>
        <w:t>Scraping Sources and Advisors Reference.docx</w:t>
      </w:r>
      <w:r>
        <w:rPr>
          <w:sz w:val="20"/>
        </w:rPr>
        <w:t>, same folder) regenerates automatically whenever this file is saved — a PostToolUse hook (</w:t>
      </w:r>
      <w:r>
        <w:rPr>
          <w:rFonts w:ascii="Consolas" w:hAnsi="Consolas"/>
          <w:sz w:val="20"/>
        </w:rPr>
        <w:t>.claude/settings.json</w:t>
      </w:r>
      <w:r>
        <w:rPr>
          <w:sz w:val="20"/>
        </w:rPr>
        <w:t xml:space="preserve">) runs </w:t>
      </w:r>
      <w:r>
        <w:rPr>
          <w:rFonts w:ascii="Consolas" w:hAnsi="Consolas"/>
          <w:sz w:val="20"/>
        </w:rPr>
        <w:t>build_scraping_sources_docx.py</w:t>
      </w:r>
      <w:r>
        <w:rPr>
          <w:sz w:val="20"/>
        </w:rPr>
        <w:t xml:space="preserve"> after every edit. So: edit this </w:t>
      </w:r>
      <w:r>
        <w:rPr>
          <w:rFonts w:ascii="Consolas" w:hAnsi="Consolas"/>
          <w:sz w:val="20"/>
        </w:rPr>
        <w:t>.md</w:t>
      </w:r>
      <w:r>
        <w:rPr>
          <w:sz w:val="20"/>
        </w:rPr>
        <w:t xml:space="preserve"> file when a source changes, and the </w:t>
      </w:r>
      <w:r>
        <w:rPr>
          <w:rFonts w:ascii="Consolas" w:hAnsi="Consolas"/>
          <w:sz w:val="20"/>
        </w:rPr>
        <w:t>.docx</w:t>
      </w:r>
      <w:r>
        <w:rPr>
          <w:sz w:val="20"/>
        </w:rPr>
        <w:t xml:space="preserve"> stays in sync on its own — no separate manual step needed for that half.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tlanticcouncil.org/dispatches/" TargetMode="External"/><Relationship Id="rId10" Type="http://schemas.openxmlformats.org/officeDocument/2006/relationships/hyperlink" Target="https://www.csis.org/analysis" TargetMode="External"/><Relationship Id="rId11" Type="http://schemas.openxmlformats.org/officeDocument/2006/relationships/hyperlink" Target="https://www.cfr.org/expert-takes" TargetMode="External"/><Relationship Id="rId12" Type="http://schemas.openxmlformats.org/officeDocument/2006/relationships/hyperlink" Target="https://www.chathamhouse.org/search/content_format/Expert%20comment" TargetMode="External"/><Relationship Id="rId13" Type="http://schemas.openxmlformats.org/officeDocument/2006/relationships/hyperlink" Target="https://www.lowyinstitute.org/the-interpreter/rss.xml" TargetMode="External"/><Relationship Id="rId14" Type="http://schemas.openxmlformats.org/officeDocument/2006/relationships/hyperlink" Target="https://www.chinamacro.ch/insights" TargetMode="External"/><Relationship Id="rId15" Type="http://schemas.openxmlformats.org/officeDocument/2006/relationships/hyperlink" Target="https://www.deloitte.com/us/en/insights/" TargetMode="External"/><Relationship Id="rId16" Type="http://schemas.openxmlformats.org/officeDocument/2006/relationships/hyperlink" Target="https://www.weforum.org/public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