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4D62533" w14:paraId="22EE87E9" wp14:textId="03EE71FE">
      <w:pPr>
        <w:pStyle w:val="Title"/>
      </w:pPr>
      <w:r w:rsidR="14D62533">
        <w:rPr/>
        <w:t xml:space="preserve">Michael </w:t>
      </w:r>
      <w:r w:rsidR="14D62533">
        <w:rPr/>
        <w:t>Vogt</w:t>
      </w:r>
    </w:p>
    <w:p xmlns:wp14="http://schemas.microsoft.com/office/word/2010/wordml" w:rsidP="14D62533" w14:paraId="54807F7E" wp14:textId="7191536E">
      <w:pPr>
        <w:rPr>
          <w:b w:val="1"/>
          <w:bCs w:val="1"/>
          <w:sz w:val="18"/>
          <w:szCs w:val="18"/>
        </w:rPr>
      </w:pPr>
      <w:r w:rsidRPr="14D62533" w:rsidR="14D62533">
        <w:rPr>
          <w:b w:val="1"/>
          <w:bCs w:val="1"/>
          <w:sz w:val="20"/>
          <w:szCs w:val="20"/>
        </w:rPr>
        <w:t xml:space="preserve">Sugar Grove, IL </w:t>
      </w:r>
      <w:r w:rsidRPr="14D62533" w:rsidR="14D62533">
        <w:rPr>
          <w:b w:val="1"/>
          <w:bCs w:val="1"/>
          <w:sz w:val="20"/>
          <w:szCs w:val="20"/>
        </w:rPr>
        <w:t>60554  |</w:t>
      </w:r>
      <w:r w:rsidRPr="14D62533" w:rsidR="14D62533">
        <w:rPr>
          <w:b w:val="1"/>
          <w:bCs w:val="1"/>
          <w:sz w:val="20"/>
          <w:szCs w:val="20"/>
        </w:rPr>
        <w:t xml:space="preserve">  312-772-</w:t>
      </w:r>
      <w:r w:rsidRPr="14D62533" w:rsidR="14D62533">
        <w:rPr>
          <w:b w:val="1"/>
          <w:bCs w:val="1"/>
          <w:sz w:val="20"/>
          <w:szCs w:val="20"/>
        </w:rPr>
        <w:t>4762  |</w:t>
      </w:r>
      <w:r w:rsidRPr="14D62533" w:rsidR="14D62533">
        <w:rPr>
          <w:b w:val="1"/>
          <w:bCs w:val="1"/>
          <w:sz w:val="20"/>
          <w:szCs w:val="20"/>
        </w:rPr>
        <w:t xml:space="preserve">  </w:t>
      </w:r>
      <w:r w:rsidRPr="14D62533" w:rsidR="14D62533">
        <w:rPr>
          <w:b w:val="1"/>
          <w:bCs w:val="1"/>
          <w:sz w:val="20"/>
          <w:szCs w:val="20"/>
        </w:rPr>
        <w:t>mvogt99@gmail.com  |</w:t>
      </w:r>
      <w:r w:rsidRPr="14D62533" w:rsidR="14D62533">
        <w:rPr>
          <w:b w:val="1"/>
          <w:bCs w:val="1"/>
          <w:sz w:val="20"/>
          <w:szCs w:val="20"/>
        </w:rPr>
        <w:t xml:space="preserve">  linkedin.com/in/mike-vogt-analytics</w:t>
      </w:r>
    </w:p>
    <w:p xmlns:wp14="http://schemas.microsoft.com/office/word/2010/wordml" w:rsidP="14D62533" w14:paraId="513C4D1D" wp14:textId="77777777">
      <w:pPr>
        <w:pStyle w:val="Heading1"/>
      </w:pPr>
      <w:r w:rsidR="14D62533">
        <w:rPr/>
        <w:t>Professional Summary</w:t>
      </w:r>
    </w:p>
    <w:p xmlns:wp14="http://schemas.microsoft.com/office/word/2010/wordml" w14:paraId="67B6090F" wp14:textId="77777777">
      <w:r>
        <w:t>Principal Data Architect with 20+ years designing, governing, and scaling cloud-native, event-driven, and AI-enabled data platforms in healthcare and regulated industries. Expert in canonical data models, data products, PBM and claims ecosystems, and governance-first AI enablement across the data lifecycle. Proven practice builder and executive advisor - grew three practices from zero ($4.5M, $3M, $2M), coached 40+ professionals into senior roles, and enables AI adoption safely and responsibly.</w:t>
      </w:r>
    </w:p>
    <w:p xmlns:wp14="http://schemas.microsoft.com/office/word/2010/wordml" w:rsidP="14D62533" w14:paraId="4D6EB652" wp14:textId="77777777">
      <w:pPr>
        <w:pStyle w:val="Heading1"/>
      </w:pPr>
      <w:r w:rsidR="14D62533">
        <w:rPr/>
        <w:t>Core Competencies</w:t>
      </w:r>
    </w:p>
    <w:p xmlns:wp14="http://schemas.microsoft.com/office/word/2010/wordml" w14:paraId="7C952E24" wp14:textId="77777777">
      <w:pPr>
        <w:pStyle w:val="ListBullet"/>
      </w:pPr>
      <w:r>
        <w:t>Principal Data Architecture</w:t>
      </w:r>
    </w:p>
    <w:p xmlns:wp14="http://schemas.microsoft.com/office/word/2010/wordml" w14:paraId="3FBCB619" wp14:textId="77777777">
      <w:pPr>
        <w:pStyle w:val="ListBullet"/>
      </w:pPr>
      <w:r>
        <w:t>AI Enablement &amp; Agentic AI</w:t>
      </w:r>
    </w:p>
    <w:p xmlns:wp14="http://schemas.microsoft.com/office/word/2010/wordml" w14:paraId="4D50563F" wp14:textId="77777777">
      <w:pPr>
        <w:pStyle w:val="ListBullet"/>
      </w:pPr>
      <w:r>
        <w:t>Governance-First AI Pipelines</w:t>
      </w:r>
    </w:p>
    <w:p xmlns:wp14="http://schemas.microsoft.com/office/word/2010/wordml" w14:paraId="2DA5B50B" wp14:textId="77777777">
      <w:pPr>
        <w:pStyle w:val="ListBullet"/>
      </w:pPr>
      <w:r>
        <w:t>Canonical Data Models</w:t>
      </w:r>
    </w:p>
    <w:p xmlns:wp14="http://schemas.microsoft.com/office/word/2010/wordml" w14:paraId="27511E9E" wp14:textId="77777777">
      <w:pPr>
        <w:pStyle w:val="ListBullet"/>
      </w:pPr>
      <w:r>
        <w:t>Healthcare Data Platforms (PBM / Claims / HIPAA)</w:t>
      </w:r>
    </w:p>
    <w:p xmlns:wp14="http://schemas.microsoft.com/office/word/2010/wordml" w14:paraId="5FDF51E0" wp14:textId="77777777">
      <w:pPr>
        <w:pStyle w:val="ListBullet"/>
      </w:pPr>
      <w:r>
        <w:t>Cloud-Native Architecture (Azure, AWS, GCP)</w:t>
      </w:r>
    </w:p>
    <w:p xmlns:wp14="http://schemas.microsoft.com/office/word/2010/wordml" w14:paraId="5A5C8F1A" wp14:textId="77777777">
      <w:pPr>
        <w:pStyle w:val="ListBullet"/>
      </w:pPr>
      <w:r>
        <w:t>Event-Driven Systems</w:t>
      </w:r>
    </w:p>
    <w:p xmlns:wp14="http://schemas.microsoft.com/office/word/2010/wordml" w14:paraId="7C00341C" wp14:textId="77777777">
      <w:pPr>
        <w:pStyle w:val="ListBullet"/>
      </w:pPr>
      <w:r>
        <w:t>Data Governance &amp; Compliance</w:t>
      </w:r>
    </w:p>
    <w:p xmlns:wp14="http://schemas.microsoft.com/office/word/2010/wordml" w14:paraId="41FA088C" wp14:textId="77777777">
      <w:pPr>
        <w:pStyle w:val="ListBullet"/>
      </w:pPr>
      <w:r>
        <w:t>Data Products &amp; Data Mesh</w:t>
      </w:r>
    </w:p>
    <w:p xmlns:wp14="http://schemas.microsoft.com/office/word/2010/wordml" w14:paraId="2E526BFD" wp14:textId="77777777">
      <w:pPr>
        <w:pStyle w:val="ListBullet"/>
      </w:pPr>
      <w:r>
        <w:t>Executive Advisory &amp; Practice Leadership</w:t>
      </w:r>
    </w:p>
    <w:p xmlns:wp14="http://schemas.microsoft.com/office/word/2010/wordml" w14:paraId="7634E9C8" wp14:textId="77777777">
      <w:pPr>
        <w:pStyle w:val="ListBullet"/>
      </w:pPr>
      <w:r>
        <w:t>Configuration-Driven Ingestion</w:t>
      </w:r>
    </w:p>
    <w:p xmlns:wp14="http://schemas.microsoft.com/office/word/2010/wordml" w14:paraId="6B7CED2F" wp14:textId="77777777">
      <w:pPr>
        <w:pStyle w:val="ListBullet"/>
      </w:pPr>
      <w:r>
        <w:t>Multi-Agent Orchestration</w:t>
      </w:r>
    </w:p>
    <w:p xmlns:wp14="http://schemas.microsoft.com/office/word/2010/wordml" w14:paraId="7BAF3B05" wp14:textId="77777777">
      <w:pPr>
        <w:pStyle w:val="ListBullet"/>
      </w:pPr>
      <w:r>
        <w:t>Knowledge Graphs &amp; Vector Search</w:t>
      </w:r>
    </w:p>
    <w:p xmlns:wp14="http://schemas.microsoft.com/office/word/2010/wordml" w14:paraId="00C56B49" wp14:textId="77777777">
      <w:pPr>
        <w:pStyle w:val="ListBullet"/>
      </w:pPr>
      <w:r>
        <w:t>ERP Integration (SAP / Oracle / Salesforce)</w:t>
      </w:r>
    </w:p>
    <w:p xmlns:wp14="http://schemas.microsoft.com/office/word/2010/wordml" w:rsidP="14D62533" w14:paraId="6DE4543C" wp14:textId="77777777">
      <w:pPr>
        <w:pStyle w:val="Heading1"/>
      </w:pPr>
      <w:r w:rsidR="14D62533">
        <w:rPr/>
        <w:t>Professional Experience</w:t>
      </w:r>
    </w:p>
    <w:p xmlns:wp14="http://schemas.microsoft.com/office/word/2010/wordml" w:rsidP="14D62533" w14:paraId="1A9B69B8" wp14:textId="77777777">
      <w:pPr>
        <w:pStyle w:val="Heading2"/>
      </w:pPr>
      <w:r w:rsidR="14D62533">
        <w:rPr/>
        <w:t>AHEAD - Chicago, IL - Sep 2023 to Present</w:t>
      </w:r>
    </w:p>
    <w:p xmlns:wp14="http://schemas.microsoft.com/office/word/2010/wordml" w:rsidP="14D62533" w14:paraId="71146B17" wp14:textId="77777777">
      <w:pPr>
        <w:pStyle w:val="Heading3"/>
      </w:pPr>
      <w:r w:rsidR="14D62533">
        <w:rPr/>
        <w:t>Principal Technical Consultant</w:t>
      </w:r>
    </w:p>
    <w:p xmlns:wp14="http://schemas.microsoft.com/office/word/2010/wordml" w14:paraId="4C54246F" wp14:textId="77777777">
      <w:r>
        <w:t>Principal architect leading AI-enabled data platform initiatives for healthcare organizations including PBMs and provider systems. End-to-end platform design from canonical data modeling through AI-enabled consumption layers across two client teams of ~12 engineers each.</w:t>
      </w:r>
    </w:p>
    <w:p xmlns:wp14="http://schemas.microsoft.com/office/word/2010/wordml" w14:paraId="00662E21" wp14:textId="77777777">
      <w:pPr>
        <w:pStyle w:val="ListBullet"/>
      </w:pPr>
      <w:r>
        <w:t>Established canonical-model-driven, cloud-native platforms for PBM claims processing, eligibility verification, and pharmacy benefit management on AWS; provider data integration on Azure with HIPAA compliance throughout the data lifecycle</w:t>
      </w:r>
    </w:p>
    <w:p xmlns:wp14="http://schemas.microsoft.com/office/word/2010/wordml" w14:paraId="631698FD" wp14:textId="77777777">
      <w:pPr>
        <w:pStyle w:val="ListBullet"/>
      </w:pPr>
      <w:r>
        <w:t>Delivered configuration-driven, DSL-based ingestion reducing healthcare data source onboarding from 8 weeks to under 1 week - eliminated custom ETL for each new source</w:t>
      </w:r>
    </w:p>
    <w:p xmlns:wp14="http://schemas.microsoft.com/office/word/2010/wordml" w14:paraId="43E2DFF9" wp14:textId="77777777">
      <w:pPr>
        <w:pStyle w:val="ListBullet"/>
      </w:pPr>
      <w:r>
        <w:t>Embedded AI-driven data quality, ingestion orchestration, and compliance controls as first-class architectural capabilities - governance-first approach making AI auditability and traceability foundational</w:t>
      </w:r>
    </w:p>
    <w:p xmlns:wp14="http://schemas.microsoft.com/office/word/2010/wordml" w14:paraId="4A12F621" wp14:textId="77777777">
      <w:pPr>
        <w:pStyle w:val="ListBullet"/>
        <w:rPr/>
      </w:pPr>
      <w:r w:rsidR="14D62533">
        <w:rPr/>
        <w:t>Defined enterprise design standards and shared data vocabulary that aligned engineering, product, and executive leadership; coached 25 engineers through progressive ownership model enabling independent platform extension post-engagement</w:t>
      </w:r>
    </w:p>
    <w:p xmlns:wp14="http://schemas.microsoft.com/office/word/2010/wordml" w:rsidP="14D62533" w14:paraId="3788B126" wp14:textId="77777777">
      <w:pPr>
        <w:pStyle w:val="Heading2"/>
      </w:pPr>
      <w:r w:rsidR="14D62533">
        <w:rPr/>
        <w:t>Prior Leadership Roles</w:t>
      </w:r>
    </w:p>
    <w:p xmlns:wp14="http://schemas.microsoft.com/office/word/2010/wordml" w14:paraId="29523629" wp14:textId="77777777">
      <w:r>
        <w:t>PwC (Director, Data Architecture) | SPR (Executive Director, Data Analytics) | Capgemini (Senior Manager) | NVISIA (Director, Data Architecture) | PSC Group (VP)</w:t>
      </w:r>
    </w:p>
    <w:p xmlns:wp14="http://schemas.microsoft.com/office/word/2010/wordml" w14:paraId="1B674B9F" wp14:textId="77777777">
      <w:pPr>
        <w:pStyle w:val="Heading2"/>
      </w:pPr>
      <w:r>
        <w:t>Selected Prior Engagements</w:t>
      </w:r>
    </w:p>
    <w:p xmlns:wp14="http://schemas.microsoft.com/office/word/2010/wordml" w14:paraId="2AA4FDAC" wp14:textId="77777777">
      <w:pPr>
        <w:pStyle w:val="ListBullet"/>
        <w:rPr/>
      </w:pPr>
      <w:r w:rsidRPr="14D62533" w:rsidR="14D62533">
        <w:rPr>
          <w:rStyle w:val="Heading3Char"/>
        </w:rPr>
        <w:t>PwC (2020-2023):</w:t>
      </w:r>
      <w:r w:rsidR="14D62533">
        <w:rPr/>
        <w:t xml:space="preserve"> Productized </w:t>
      </w:r>
      <w:r w:rsidR="14D62533">
        <w:rPr/>
        <w:t>hyperscaler</w:t>
      </w:r>
      <w:r w:rsidR="14D62533">
        <w:rPr/>
        <w:t xml:space="preserve">-agnostic enterprise data platform across Azure, AWS, and GCP - shared DSL configurations, canonical data models, SAP HANA, Oracle Fusion, Salesforce, Informatica, Talend integrations; managed 50+ person team, $5M+ budget; secured senior partner alignment keeping unified architecture across all </w:t>
      </w:r>
      <w:r w:rsidR="14D62533">
        <w:rPr/>
        <w:t>hyperscalers</w:t>
      </w:r>
    </w:p>
    <w:p xmlns:wp14="http://schemas.microsoft.com/office/word/2010/wordml" w14:paraId="35AEC98B" wp14:textId="77777777">
      <w:pPr>
        <w:pStyle w:val="ListBullet"/>
        <w:rPr/>
      </w:pPr>
      <w:r w:rsidRPr="14D62533" w:rsidR="14D62533">
        <w:rPr>
          <w:rStyle w:val="Heading3Char"/>
        </w:rPr>
        <w:t>SPR (2018-2020):</w:t>
      </w:r>
      <w:r w:rsidR="14D62533">
        <w:rPr/>
        <w:t xml:space="preserve"> Built data and analytics practice from zero to $4.5M; </w:t>
      </w:r>
      <w:r w:rsidR="14D62533">
        <w:rPr/>
        <w:t>DataOps</w:t>
      </w:r>
      <w:r w:rsidR="14D62533">
        <w:rPr/>
        <w:t xml:space="preserve"> with TDD and expectation-based validation; event-driven architecture on Azure and AWS; tripled headcount developing engineers into client-facing consultants</w:t>
      </w:r>
    </w:p>
    <w:p xmlns:wp14="http://schemas.microsoft.com/office/word/2010/wordml" w14:paraId="673A4DCB" wp14:textId="77777777">
      <w:pPr>
        <w:pStyle w:val="ListBullet"/>
        <w:rPr/>
      </w:pPr>
      <w:r w:rsidRPr="14D62533" w:rsidR="14D62533">
        <w:rPr>
          <w:rStyle w:val="Heading3Char"/>
        </w:rPr>
        <w:t>NVISIA (2012-2017):</w:t>
      </w:r>
      <w:r w:rsidR="14D62533">
        <w:rPr/>
        <w:t xml:space="preserve"> Healthcare payor risk assessment engine (ACA compliance, clinical data governance, HIPAA); data warehouse strategy for global medical supply manufacturer; grew Data/Analytics practice to $3M at 40% margin</w:t>
      </w:r>
    </w:p>
    <w:p xmlns:wp14="http://schemas.microsoft.com/office/word/2010/wordml" w14:paraId="71488734" wp14:textId="77777777">
      <w:pPr>
        <w:pStyle w:val="ListBullet"/>
        <w:rPr/>
      </w:pPr>
      <w:r w:rsidRPr="14D62533" w:rsidR="14D62533">
        <w:rPr>
          <w:rStyle w:val="Heading3Char"/>
        </w:rPr>
        <w:t>PSC Group (2005-2012):</w:t>
      </w:r>
      <w:r w:rsidR="14D62533">
        <w:rPr/>
        <w:t xml:space="preserve"> Financial instruments and contracts canonical data model at Global Futures Clearing Merchant - millions of transactions per 2-hour windows, 15-minute latency; </w:t>
      </w:r>
      <w:r w:rsidR="14D62533">
        <w:rPr/>
        <w:t>Datastage</w:t>
      </w:r>
      <w:r w:rsidR="14D62533">
        <w:rPr/>
        <w:t>, MuleSoft ESB, Oracle SOA; launched Open-Source practice to $2M</w:t>
      </w:r>
    </w:p>
    <w:p xmlns:wp14="http://schemas.microsoft.com/office/word/2010/wordml" w14:paraId="16A8DA45" wp14:textId="77777777">
      <w:pPr>
        <w:pStyle w:val="ListBullet"/>
        <w:rPr/>
      </w:pPr>
      <w:r w:rsidRPr="14D62533" w:rsidR="14D62533">
        <w:rPr>
          <w:rStyle w:val="Heading3Char"/>
        </w:rPr>
        <w:t>Capgemini (2017-2018):</w:t>
      </w:r>
      <w:r w:rsidR="14D62533">
        <w:rPr/>
        <w:t xml:space="preserve"> Cloud-agnostic Azure migration - Talend, Azure Data Warehouse; on/offshore delivery leadership up to $4M engagement budgets</w:t>
      </w:r>
    </w:p>
    <w:p xmlns:wp14="http://schemas.microsoft.com/office/word/2010/wordml" w14:paraId="228B25EE" wp14:textId="77777777">
      <w:pPr>
        <w:pStyle w:val="Heading2"/>
      </w:pPr>
      <w:r>
        <w:t>Earlier Career</w:t>
      </w:r>
    </w:p>
    <w:p xmlns:wp14="http://schemas.microsoft.com/office/word/2010/wordml" w14:paraId="18A51EBA" wp14:textId="77777777">
      <w:r>
        <w:t>Senior Technical Architect - Health Care Services Corp (HCSC)</w:t>
      </w:r>
    </w:p>
    <w:p xmlns:wp14="http://schemas.microsoft.com/office/word/2010/wordml" w14:paraId="53DF83B0" wp14:textId="77777777">
      <w:r w:rsidR="14D62533">
        <w:rPr/>
        <w:t>Senior Rules Engine Architect - Kemper Insurance</w:t>
      </w:r>
    </w:p>
    <w:p xmlns:wp14="http://schemas.microsoft.com/office/word/2010/wordml" w:rsidP="14D62533" w14:paraId="1233F72C" wp14:textId="29CFE1FC">
      <w:pPr>
        <w:pStyle w:val="Heading2"/>
      </w:pPr>
      <w:r w:rsidR="42CF230A">
        <w:rPr/>
        <w:t xml:space="preserve">Side Project </w:t>
      </w:r>
      <w:r w:rsidR="0F851EC6">
        <w:rPr/>
        <w:t>AI Architecture &amp; Advisory - Jan 2025 to Present</w:t>
      </w:r>
    </w:p>
    <w:p xmlns:wp14="http://schemas.microsoft.com/office/word/2010/wordml" w:rsidP="14D62533" wp14:textId="77777777" w14:paraId="1F639C62">
      <w:pPr/>
      <w:r w:rsidR="0F851EC6">
        <w:rPr/>
        <w:t>Designing AI-native enterprise architectures focused on governance-first agentic AI, knowledge grounding, and scalable automation.</w:t>
      </w:r>
    </w:p>
    <w:p xmlns:wp14="http://schemas.microsoft.com/office/word/2010/wordml" w:rsidP="14D62533" wp14:textId="77777777" w14:paraId="29EC17BC">
      <w:pPr>
        <w:pStyle w:val="ListBullet"/>
        <w:rPr/>
      </w:pPr>
      <w:r w:rsidR="0F851EC6">
        <w:rPr/>
        <w:t>Architected multi-agent AI system with specialized agents (architect, tester, security engineer, editor) - defined roles, background job management, audit trails, and quality-scored handoffs enforcing accuracy, traceability, and cost controls</w:t>
      </w:r>
    </w:p>
    <w:p xmlns:wp14="http://schemas.microsoft.com/office/word/2010/wordml" w:rsidP="14D62533" w14:paraId="35253AB6" wp14:textId="0BFC04F4">
      <w:pPr>
        <w:pStyle w:val="ListBullet"/>
        <w:rPr/>
      </w:pPr>
      <w:r w:rsidR="0F851EC6">
        <w:rPr/>
        <w:t xml:space="preserve">Designed </w:t>
      </w:r>
      <w:r w:rsidR="5C544796">
        <w:rPr/>
        <w:t xml:space="preserve">agentic operating model </w:t>
      </w:r>
      <w:r w:rsidR="0F851EC6">
        <w:rPr/>
        <w:t xml:space="preserve">governance </w:t>
      </w:r>
      <w:r w:rsidR="4C6F551C">
        <w:rPr/>
        <w:t xml:space="preserve">framework </w:t>
      </w:r>
      <w:r w:rsidR="0F851EC6">
        <w:rPr/>
        <w:t>validating AI outputs against faithfulness, truthfulness, accuracy, and latency before production; cost-optimized via local 30B parameter GPU inference with cloud fallback (near-zero inference cost)</w:t>
      </w:r>
    </w:p>
    <w:p xmlns:wp14="http://schemas.microsoft.com/office/word/2010/wordml" w:rsidP="14D62533" wp14:textId="77777777" w14:paraId="70353651">
      <w:pPr>
        <w:pStyle w:val="ListBullet"/>
        <w:rPr/>
      </w:pPr>
      <w:r w:rsidR="0F851EC6">
        <w:rPr/>
        <w:t>Integrated knowledge graphs (ArangoDB) and vector search (Qdrant) for AI reasoning grounded in enterprise canonical data; RAG architecture fusing structured domain data with semantic search</w:t>
      </w:r>
    </w:p>
    <w:p xmlns:wp14="http://schemas.microsoft.com/office/word/2010/wordml" w:rsidP="14D62533" w14:paraId="0B724D3E" wp14:textId="5B213457">
      <w:pPr>
        <w:pStyle w:val="Heading1"/>
      </w:pPr>
      <w:r w:rsidR="14D62533">
        <w:rPr/>
        <w:t>Technical Skills</w:t>
      </w:r>
    </w:p>
    <w:p xmlns:wp14="http://schemas.microsoft.com/office/word/2010/wordml" w14:paraId="592A7783" wp14:textId="77777777">
      <w:r>
        <w:t>Platforms &amp; Cloud: Azure Data Factory, Azure Synapse Analytics, Azure Event Hub, Azure Data Lake Storage, AWS Glue, AWS Lambda, Amazon S3, Amazon Redshift, Amazon SageMaker, Google Cloud Platform</w:t>
      </w:r>
    </w:p>
    <w:p xmlns:wp14="http://schemas.microsoft.com/office/word/2010/wordml" w14:paraId="6E7A8971" wp14:textId="77777777">
      <w:r>
        <w:t>Architecture: Principal Data Architecture, event-driven systems, data mesh, canonical data models, data products, DSL configuration-driven, microservices, CQRS</w:t>
      </w:r>
    </w:p>
    <w:p xmlns:wp14="http://schemas.microsoft.com/office/word/2010/wordml" w14:paraId="6BF92E6D" wp14:textId="77777777">
      <w:r>
        <w:t>AI &amp; ML: Agentic AI orchestration, multi-agent systems, knowledge graphs, vector search, RAG, LLM integration, governance-first AI pipelines, responsible AI, Qdrant, ArangoDB</w:t>
      </w:r>
    </w:p>
    <w:p xmlns:wp14="http://schemas.microsoft.com/office/word/2010/wordml" w14:paraId="530D8108" wp14:textId="77777777">
      <w:r>
        <w:t>Data &amp; Integration: Talend, Datastage, Informatica, MuleSoft ESB, Apache Airflow, Apache Spark, Databricks, SAP HANA, Oracle Fusion, Salesforce integrations</w:t>
      </w:r>
    </w:p>
    <w:p xmlns:wp14="http://schemas.microsoft.com/office/word/2010/wordml" w14:paraId="357D6248" wp14:textId="77777777">
      <w:r>
        <w:t>Languages: SQL, Python</w:t>
      </w:r>
    </w:p>
    <w:p xmlns:wp14="http://schemas.microsoft.com/office/word/2010/wordml" w:rsidP="14D62533" w14:paraId="69D0C959" wp14:textId="77777777">
      <w:pPr>
        <w:pStyle w:val="Heading1"/>
      </w:pPr>
      <w:r w:rsidR="14D62533">
        <w:rPr/>
        <w:t>Education</w:t>
      </w:r>
    </w:p>
    <w:p xmlns:wp14="http://schemas.microsoft.com/office/word/2010/wordml" w14:paraId="19F6D72E" wp14:textId="77777777">
      <w:r>
        <w:t>ME, Concurrent Design Management - Stevens Institute of Technology, Hoboken, NJ</w:t>
      </w:r>
    </w:p>
    <w:p xmlns:wp14="http://schemas.microsoft.com/office/word/2010/wordml" w14:paraId="2B971AD8" wp14:textId="77777777">
      <w:r>
        <w:t>BS, Marine Engineering Systems - United States Merchant Marine Academy, Kings Point, NY</w:t>
      </w:r>
    </w:p>
    <w:p xmlns:wp14="http://schemas.microsoft.com/office/word/2010/wordml" w:rsidP="14D62533" w14:paraId="5F782650" wp14:textId="77777777">
      <w:pPr>
        <w:pStyle w:val="Heading1"/>
      </w:pPr>
      <w:r w:rsidR="14D62533">
        <w:rPr/>
        <w:t>Certifications</w:t>
      </w:r>
    </w:p>
    <w:p xmlns:wp14="http://schemas.microsoft.com/office/word/2010/wordml" w14:paraId="286C69BC" wp14:textId="77777777">
      <w:r>
        <w:t>Essentials of Executive Leadership - Booth School of Management, University of Chicago</w:t>
      </w:r>
    </w:p>
    <w:p xmlns:wp14="http://schemas.microsoft.com/office/word/2010/wordml" w:rsidP="14D62533" w14:paraId="69680CF8" wp14:textId="77777777">
      <w:pPr>
        <w:pStyle w:val="Heading1"/>
      </w:pPr>
      <w:r w:rsidR="14D62533">
        <w:rPr/>
        <w:t>Additional Information</w:t>
      </w:r>
    </w:p>
    <w:p xmlns:wp14="http://schemas.microsoft.com/office/word/2010/wordml" w14:paraId="5CA2FC93" wp14:textId="77777777">
      <w:r>
        <w:t>Military Service: Merchant Marine Engineering Officer, US Navy Reserve</w:t>
      </w:r>
    </w:p>
    <w:p xmlns:wp14="http://schemas.microsoft.com/office/word/2010/wordml" w14:paraId="1B769C12" wp14:textId="77777777">
      <w:r>
        <w:t>Community Involvement: Volunteer Marine Engineer for MANATRA - 15+ years mentoring 100+ high school and college NROTC students in marine engineering on active training vessels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E999C"/>
    <w:rsid w:val="01AE999C"/>
    <w:rsid w:val="04681D6E"/>
    <w:rsid w:val="0AEBD14E"/>
    <w:rsid w:val="0F851EC6"/>
    <w:rsid w:val="14D62533"/>
    <w:rsid w:val="298EA6EF"/>
    <w:rsid w:val="42CF230A"/>
    <w:rsid w:val="4C6F551C"/>
    <w:rsid w:val="4D1CB6A3"/>
    <w:rsid w:val="5B6380EE"/>
    <w:rsid w:val="5C544796"/>
    <w:rsid w:val="736E0317"/>
    <w:rsid w:val="7D745479"/>
    <w:rsid w:val="7D74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9D2D781-8BED-4914-98DF-EE6F998613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Michael Vogt</lastModifiedBy>
  <revision>2</revision>
  <dcterms:created xsi:type="dcterms:W3CDTF">2013-12-23T23:15:00.0000000Z</dcterms:created>
  <dcterms:modified xsi:type="dcterms:W3CDTF">2026-04-17T19:38:41.1829574Z</dcterms:modified>
  <category/>
</coreProperties>
</file>