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2E5FA3"/>
          <w:sz w:val="36"/>
        </w:rPr>
        <w:t>MICHAEL VOGT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05050"/>
          <w:sz w:val="18"/>
        </w:rPr>
        <w:t>Sugar Grove, IL 60554  ·  312-772-4762  ·  mvogt99@gmail.com  ·  linkedin.com/in/mike-vogt-analytics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PROFESSIONAL SUMMARY</w:t>
      </w:r>
    </w:p>
    <w:p>
      <w:pPr>
        <w:spacing w:before="80" w:after="60"/>
      </w:pPr>
      <w:r>
        <w:rPr>
          <w:rFonts w:ascii="Calibri" w:hAnsi="Calibri"/>
          <w:b w:val="0"/>
          <w:i w:val="0"/>
          <w:sz w:val="20"/>
        </w:rPr>
        <w:t>Enterprise Architect with 20+ years translating business capabilities into governed, hyperscaler-agnostic cloud platforms — canonical data models, event-driven integration, and data products that organizations own and extend independently. Brings business architecture discipline and hands-on technical depth across enterprise data, cloud, AI, and integration architecture. Equally credible in CIO/CTO strategy conversations and design-trade-off sessions with engineering teams. Consulting leader who has built and scaled three practices; developed 40+ engineers and architects into senior technical leads. Current focus: governed AI patterns extending canonical data models and enterprise integration into AI-native consumption without bypassing governance controls.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CORE COMPETENCIES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Enterprise Architecture &amp; Business Architecture     Target Operating Models &amp; Platform Roadmaps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Canonical Data Models &amp; Data Products               Cloud-Native Platforms (Azure / AWS / GCP)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Supply Chain &amp; Finance Domain Modeling              ERP Integration (SAP HANA / Oracle Financials)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Data Governance, Lineage &amp; Data Mesh                Event-Driven &amp; Configuration-Driven Architecture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Stakeholder Alignment &amp; Executive Communication     Operationalization &amp; Engineering Team Development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AI-Enabled Data Platforms &amp; Governed AI Patterns    Practice Building &amp; P&amp;L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i w:val="0"/>
          <w:sz w:val="20"/>
        </w:rPr>
        <w:t>AHEAD  |  Chicago, IL  |  2023 – Present</w:t>
      </w:r>
    </w:p>
    <w:p>
      <w:pPr>
        <w:spacing w:before="0" w:after="60"/>
      </w:pPr>
      <w:r>
        <w:rPr>
          <w:rFonts w:ascii="Calibri" w:hAnsi="Calibri"/>
          <w:b w:val="0"/>
          <w:i/>
          <w:color w:val="2E5FA3"/>
          <w:sz w:val="20"/>
        </w:rPr>
        <w:t>Principal Technical Consultant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Lead enterprise architect and consulting advisor designing and delivering governed cloud data platforms and AI-enabled architectures for enterprise clients across healthcare and manufacturing sectors. Conduct discovery sessions and workshops to translate business capabilities into platform roadmaps; establish canonical data model frameworks and event-driven integration patterns from strategy through production.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Designed cloud data platform architecture for a global manufacturing client (labels, packaging, consumer-product categories), scoped to architecture and design; established platform blueprint aligned to supply chain, product, and commercial analytics data domains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Led greenfield enterprise data platform for a healthcare provider serving 10,000 customer organizations — architected Databricks/Unity Catalog with data governance, modeling standards, and Delta Lake patterns from inception through production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Designed Microsoft Fabric proof-of-concept for healthcare provider — assessed OneLake, pipeline orchestration, and Power BI Premium against enterprise readiness; produced architectural decision record covering Fabric/Databricks co-existence and migration path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Architected configuration-driven, event-driven AWS data integration platform for a PBM client serving 3 healthcare clients across 4 data domains and 20+ source systems — Apache Iceberg for storage, Collibra DQ for data quality, AWS Athena and Snowflake as governed analytics consumption layer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Introduced canonical data model vocabulary — core data products, use-case data products, data producers, consumers — as shared framework unifying engineers, architects, product owners, and business leaders around a common platform language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Designed AI-ready consumption architecture incorporating RAG-enabled data products, vector database integration, and LLM-friendly schema design enabling governed AI agent queries without bypassing governance controls</w:t>
      </w:r>
    </w:p>
    <w:p>
      <w:pPr>
        <w:spacing w:before="160" w:after="20"/>
      </w:pPr>
      <w:r>
        <w:rPr>
          <w:rFonts w:ascii="Calibri" w:hAnsi="Calibri"/>
          <w:b/>
          <w:i w:val="0"/>
          <w:sz w:val="20"/>
        </w:rPr>
        <w:t>PRICEWATERHOUSECOOPERS (PwC)  |  Chicago, IL  |  2020 – 2023</w:t>
      </w:r>
    </w:p>
    <w:p>
      <w:pPr>
        <w:spacing w:before="0" w:after="60"/>
      </w:pPr>
      <w:r>
        <w:rPr>
          <w:rFonts w:ascii="Calibri" w:hAnsi="Calibri"/>
          <w:b w:val="0"/>
          <w:i/>
          <w:color w:val="2E5FA3"/>
          <w:sz w:val="20"/>
        </w:rPr>
        <w:t>Director, Advisory, Data Architecture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Chief architect directing Data as a Product capability. Led design, engineering, and delivery of enterprise cloud-native data platforms with a distributed global team of 50+ and $5M+ budget, with and without direct line authority across onshore and offshore delivery.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Originated canonical data model framework through a water-distribution client engagement — modeled orders, products, shipments, and finance (AP/GL) domains against SAP HANA and Oracle Financials; CDM framework adopted as foundation for PwC's firm-wide Data-as-a-Product platform spanning Azure, AWS, and GCP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Extended Data-as-a-Product platform from Azure to AWS and GCP under a single canonical configuration metadata model — Azure Data Factory, Synapse, Event Hub, Purview, and Data Lake at the core; achieved senior partner alignment preventing fragmentation across three separate hyperscaler implementations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Moved platform from internal pilot to firm-wide production — presented unified architecture case to partners and senior managers, shaping how the platform was built, governed, and marketed firm-wide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Resolved executive misalignment on data quality expectations in real-time (MVP 65% vs. production 90%): named the gap, explained contract assumptions, achieved consensus on production-level targets with clear enablement path</w:t>
      </w:r>
    </w:p>
    <w:p>
      <w:pPr>
        <w:spacing w:before="160" w:after="20"/>
      </w:pPr>
      <w:r>
        <w:rPr>
          <w:rFonts w:ascii="Calibri" w:hAnsi="Calibri"/>
          <w:b/>
          <w:i w:val="0"/>
          <w:sz w:val="20"/>
        </w:rPr>
        <w:t>SPR CONSULTING  |  Chicago, IL  |  2018 – 2020</w:t>
      </w:r>
    </w:p>
    <w:p>
      <w:pPr>
        <w:spacing w:before="0" w:after="60"/>
      </w:pPr>
      <w:r>
        <w:rPr>
          <w:rFonts w:ascii="Calibri" w:hAnsi="Calibri"/>
          <w:b w:val="0"/>
          <w:i/>
          <w:color w:val="2E5FA3"/>
          <w:sz w:val="20"/>
        </w:rPr>
        <w:t>Executive Director, Data, Analytics and Machine Learning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Built data and analytics practice from zero to $4.5M revenue in under 3 years — delivered first event-driven cloud data platforms on Azure (global professional services firm) and AWS (marketing technology client); created Cloud Data Platform Accelerator reducing client startup costs 40%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Increased practice profitability 40% and capacity 300% in less than 1 year through modern technology adoption and strategic service portfolio expansion</w:t>
      </w:r>
    </w:p>
    <w:p>
      <w:pPr>
        <w:spacing w:before="160" w:after="20"/>
      </w:pPr>
      <w:r>
        <w:rPr>
          <w:rFonts w:ascii="Calibri" w:hAnsi="Calibri"/>
          <w:b/>
          <w:i w:val="0"/>
          <w:sz w:val="20"/>
        </w:rPr>
        <w:t>CAPGEMINI (SOGETI)  |  Westchester, IL  |  2017 – 2018</w:t>
      </w:r>
    </w:p>
    <w:p>
      <w:pPr>
        <w:spacing w:before="0" w:after="60"/>
      </w:pPr>
      <w:r>
        <w:rPr>
          <w:rFonts w:ascii="Calibri" w:hAnsi="Calibri"/>
          <w:b w:val="0"/>
          <w:i/>
          <w:color w:val="2E5FA3"/>
          <w:sz w:val="20"/>
        </w:rPr>
        <w:t>Senior Manager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Modernized enterprise data integration platform from on-premises to Azure for a large enterprise client — designed cloud-agnostic architecture with open-source technologies ensuring scalability without vendor lock-in; managed on/offshore delivery team with $4M engagement budget</w:t>
      </w:r>
    </w:p>
    <w:p>
      <w:pPr>
        <w:spacing w:before="160" w:after="20"/>
      </w:pPr>
      <w:r>
        <w:rPr>
          <w:rFonts w:ascii="Calibri" w:hAnsi="Calibri"/>
          <w:b/>
          <w:i w:val="0"/>
          <w:sz w:val="20"/>
        </w:rPr>
        <w:t>NVISIA  |  Chicago, IL  |  2012 – 2017</w:t>
      </w:r>
    </w:p>
    <w:p>
      <w:pPr>
        <w:spacing w:before="0" w:after="60"/>
      </w:pPr>
      <w:r>
        <w:rPr>
          <w:rFonts w:ascii="Calibri" w:hAnsi="Calibri"/>
          <w:b w:val="0"/>
          <w:i/>
          <w:color w:val="2E5FA3"/>
          <w:sz w:val="20"/>
        </w:rPr>
        <w:t>Director, Data Architecture Management (promoted 2015)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Created and led company's first Data Practice with full P&amp;L; established Data/Analytics practice and first Machine Learning service offering from scratch, growing to $3M with 40% profit margin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Developed 40+ engineers and analysts into senior architects and engagement leads through individualized growth plans and coaching embedded in every delivery; reduced engagement costs 15% through reusable reference architectures</w:t>
      </w:r>
    </w:p>
    <w:p>
      <w:pPr>
        <w:spacing w:before="160" w:after="20"/>
      </w:pPr>
      <w:r>
        <w:rPr>
          <w:rFonts w:ascii="Calibri" w:hAnsi="Calibri"/>
          <w:b/>
          <w:i w:val="0"/>
          <w:sz w:val="20"/>
        </w:rPr>
        <w:t>PSC GROUP  |  Schaumburg, IL  |  2005 – 2012</w:t>
      </w:r>
    </w:p>
    <w:p>
      <w:pPr>
        <w:spacing w:before="0" w:after="60"/>
      </w:pPr>
      <w:r>
        <w:rPr>
          <w:rFonts w:ascii="Calibri" w:hAnsi="Calibri"/>
          <w:b w:val="0"/>
          <w:i/>
          <w:color w:val="2E5FA3"/>
          <w:sz w:val="20"/>
        </w:rPr>
        <w:t>Vice President, Senior Enterprise Architect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Directed 4-year enterprise data management engagement at Global Futures Clearing Merchant — built canonical data models for financial instruments and contracts supporting worldwide front, middle, and back office operations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i w:val="0"/>
          <w:sz w:val="20"/>
        </w:rPr>
        <w:t>Launched Open-Source Application Development practice from zero to $2M, exceeding margin targets in the first year; formalized coaching pipeline developing mid-level architects into senior leads</w:t>
      </w:r>
    </w:p>
    <w:p>
      <w:pPr>
        <w:spacing w:before="80" w:after="40"/>
      </w:pPr>
      <w:r>
        <w:rPr>
          <w:rFonts w:ascii="Calibri" w:hAnsi="Calibri"/>
          <w:b/>
          <w:i w:val="0"/>
          <w:sz w:val="18"/>
        </w:rPr>
        <w:t xml:space="preserve">CAREER NOTES: </w:t>
      </w:r>
      <w:r>
        <w:rPr>
          <w:rFonts w:ascii="Calibri" w:hAnsi="Calibri"/>
          <w:b w:val="0"/>
          <w:i w:val="0"/>
          <w:sz w:val="18"/>
        </w:rPr>
        <w:t>Senior Technical Architect at HCSC (healthcare enterprise data and integration architecture). Senior Rules Engine Architect at Kemper Insurance (enterprise rules engine architecture for regulated workloads).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DATA &amp; AI INNOVATION</w:t>
      </w:r>
    </w:p>
    <w:p>
      <w:pPr>
        <w:spacing w:before="80" w:after="60"/>
      </w:pPr>
      <w:r>
        <w:rPr>
          <w:rFonts w:ascii="Calibri" w:hAnsi="Calibri"/>
          <w:b w:val="0"/>
          <w:i w:val="0"/>
          <w:sz w:val="20"/>
        </w:rPr>
        <w:t>Building governed AI-enabled data platforms integrating RAG pipelines, knowledge graphs (ArangoDB), multi-agent orchestration, and human-in-the-loop governance gates — applied to enterprise data quality, lineage explanation, governed onboarding, and operational workflow automation. Focus: governed AI patterns that strengthen architectural integrity and governance rather than bypass them.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EDUCATION &amp; PROFESSIONAL DEVELOPMENT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ME, Concurrent Design Management — Stevens Institute of Technology, Hoboken, NJ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BS, Marine Engineering Systems — United States Merchant Marine Academy, Kings Point, NY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Essentials of Executive Leadership — Booth School of Management, University of Chicago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0"/>
        </w:rPr>
        <w:t>AWS Cloud Practitioner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i w:val="0"/>
          <w:sz w:val="18"/>
        </w:rPr>
        <w:t xml:space="preserve">Modern Platforms:     </w:t>
      </w:r>
      <w:r>
        <w:rPr>
          <w:rFonts w:ascii="Calibri" w:hAnsi="Calibri"/>
          <w:b w:val="0"/>
          <w:i w:val="0"/>
          <w:sz w:val="18"/>
        </w:rPr>
        <w:t>Databricks (Unity Catalog, Delta Lake), Snowflake, Microsoft Fabric, Apache Iceberg, Apache Spark</w:t>
      </w:r>
    </w:p>
    <w:p>
      <w:pPr>
        <w:spacing w:before="20" w:after="20"/>
      </w:pPr>
      <w:r>
        <w:rPr>
          <w:rFonts w:ascii="Calibri" w:hAnsi="Calibri"/>
          <w:b/>
          <w:i w:val="0"/>
          <w:sz w:val="18"/>
        </w:rPr>
        <w:t xml:space="preserve">Cloud:                </w:t>
      </w:r>
      <w:r>
        <w:rPr>
          <w:rFonts w:ascii="Calibri" w:hAnsi="Calibri"/>
          <w:b w:val="0"/>
          <w:i w:val="0"/>
          <w:sz w:val="18"/>
        </w:rPr>
        <w:t>Azure (Data Factory, Synapse, Event Hub, Data Lake, Purview), AWS (Glue, Lambda, S3, Athena, Redshift), GCP</w:t>
      </w:r>
    </w:p>
    <w:p>
      <w:pPr>
        <w:spacing w:before="20" w:after="20"/>
      </w:pPr>
      <w:r>
        <w:rPr>
          <w:rFonts w:ascii="Calibri" w:hAnsi="Calibri"/>
          <w:b/>
          <w:i w:val="0"/>
          <w:sz w:val="18"/>
        </w:rPr>
        <w:t xml:space="preserve">ERP &amp; Source Systems: </w:t>
      </w:r>
      <w:r>
        <w:rPr>
          <w:rFonts w:ascii="Calibri" w:hAnsi="Calibri"/>
          <w:b w:val="0"/>
          <w:i w:val="0"/>
          <w:sz w:val="18"/>
        </w:rPr>
        <w:t>SAP HANA, Oracle Financials, Oracle E-Business Suite</w:t>
      </w:r>
    </w:p>
    <w:p>
      <w:pPr>
        <w:spacing w:before="20" w:after="20"/>
      </w:pPr>
      <w:r>
        <w:rPr>
          <w:rFonts w:ascii="Calibri" w:hAnsi="Calibri"/>
          <w:b/>
          <w:i w:val="0"/>
          <w:sz w:val="18"/>
        </w:rPr>
        <w:t xml:space="preserve">Data &amp; Integration:   </w:t>
      </w:r>
      <w:r>
        <w:rPr>
          <w:rFonts w:ascii="Calibri" w:hAnsi="Calibri"/>
          <w:b w:val="0"/>
          <w:i w:val="0"/>
          <w:sz w:val="18"/>
        </w:rPr>
        <w:t>Apache Airflow, MuleSoft ESB, Informatica, Datastage, SSIS, ODI, Tibco, Talend</w:t>
      </w:r>
    </w:p>
    <w:p>
      <w:pPr>
        <w:spacing w:before="20" w:after="20"/>
      </w:pPr>
      <w:r>
        <w:rPr>
          <w:rFonts w:ascii="Calibri" w:hAnsi="Calibri"/>
          <w:b/>
          <w:i w:val="0"/>
          <w:sz w:val="18"/>
        </w:rPr>
        <w:t xml:space="preserve">Databases:            </w:t>
      </w:r>
      <w:r>
        <w:rPr>
          <w:rFonts w:ascii="Calibri" w:hAnsi="Calibri"/>
          <w:b w:val="0"/>
          <w:i w:val="0"/>
          <w:sz w:val="18"/>
        </w:rPr>
        <w:t>SQL Server, PostgreSQL, Oracle, DynamoDB, MongoDB, DB2, Teradata, Hadoop</w:t>
      </w:r>
    </w:p>
    <w:p>
      <w:pPr>
        <w:spacing w:before="20" w:after="20"/>
      </w:pPr>
      <w:r>
        <w:rPr>
          <w:rFonts w:ascii="Calibri" w:hAnsi="Calibri"/>
          <w:b/>
          <w:i w:val="0"/>
          <w:sz w:val="18"/>
        </w:rPr>
        <w:t xml:space="preserve">Languages &amp; Tools:    </w:t>
      </w:r>
      <w:r>
        <w:rPr>
          <w:rFonts w:ascii="Calibri" w:hAnsi="Calibri"/>
          <w:b w:val="0"/>
          <w:i w:val="0"/>
          <w:sz w:val="18"/>
        </w:rPr>
        <w:t>Python, SQL, Java, NoSQL, UML, Power BI, Tableau</w:t>
      </w:r>
    </w:p>
    <w:p>
      <w:pPr>
        <w:spacing w:before="20" w:after="20"/>
      </w:pPr>
      <w:r>
        <w:rPr>
          <w:rFonts w:ascii="Calibri" w:hAnsi="Calibri"/>
          <w:b/>
          <w:i w:val="0"/>
          <w:sz w:val="18"/>
        </w:rPr>
        <w:t xml:space="preserve">Architecture:         </w:t>
      </w:r>
      <w:r>
        <w:rPr>
          <w:rFonts w:ascii="Calibri" w:hAnsi="Calibri"/>
          <w:b w:val="0"/>
          <w:i w:val="0"/>
          <w:sz w:val="18"/>
        </w:rPr>
        <w:t>Event-driven, pub/sub, CQRS, microservices, canonical data models, data mesh, data products, DSL/config-driven</w:t>
      </w:r>
    </w:p>
    <w:p>
      <w:pPr>
        <w:spacing w:before="20" w:after="20"/>
      </w:pPr>
      <w:r>
        <w:rPr>
          <w:rFonts w:ascii="Calibri" w:hAnsi="Calibri"/>
          <w:b/>
          <w:i w:val="0"/>
          <w:sz w:val="18"/>
        </w:rPr>
        <w:t xml:space="preserve">AI &amp; ML:              </w:t>
      </w:r>
      <w:r>
        <w:rPr>
          <w:rFonts w:ascii="Calibri" w:hAnsi="Calibri"/>
          <w:b w:val="0"/>
          <w:i w:val="0"/>
          <w:sz w:val="18"/>
        </w:rPr>
        <w:t>RAG pipelines, vector databases, LLM data infrastructure, knowledge graphs, agentic orchestration, human-in-the-loop governance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ADDITIONAL INFORMATION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Military: Merchant Marine Engineering Officer, US Navy Reserve  ·  Community: Volunteer Marine Engineer for MANATRA — 15+ years mentoring 100+ NROTC students in marine engineering on active training vessels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