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F8A90D4" wp14:textId="77777777">
      <w:pPr>
        <w:spacing w:before="0" w:after="40"/>
        <w:jc w:val="left"/>
      </w:pPr>
      <w:r>
        <w:rPr>
          <w:rFonts w:ascii="Calibri" w:hAnsi="Calibri"/>
          <w:b/>
          <w:sz w:val="36"/>
        </w:rPr>
        <w:t>MICHAEL VOGT</w:t>
      </w:r>
    </w:p>
    <w:p xmlns:wp14="http://schemas.microsoft.com/office/word/2010/wordml" w14:paraId="7036735A" wp14:textId="77777777">
      <w:pPr>
        <w:spacing w:before="0" w:after="120"/>
        <w:jc w:val="left"/>
      </w:pPr>
      <w:r>
        <w:rPr>
          <w:rFonts w:ascii="Calibri" w:hAnsi="Calibri"/>
          <w:color w:val="444444"/>
          <w:sz w:val="20"/>
        </w:rPr>
        <w:t>Sugar Grove, IL 60554  |  312-772-4762  |  mvogt99@gmail.com  |  linkedin.com/in/mike-vogt-analytics</w:t>
      </w:r>
    </w:p>
    <w:p xmlns:wp14="http://schemas.microsoft.com/office/word/2010/wordml" w14:paraId="513C4D1D" wp14:textId="77777777">
      <w:pPr>
        <w:spacing w:before="160" w:after="40"/>
        <w:pBdr>
          <w:bottom w:val="single" w:color="1F497D" w:sz="6" w:space="1"/>
        </w:pBdr>
      </w:pPr>
      <w:r>
        <w:rPr>
          <w:rFonts w:ascii="Calibri" w:hAnsi="Calibri"/>
          <w:b/>
          <w:caps/>
          <w:color w:val="1F497D"/>
          <w:sz w:val="22"/>
        </w:rPr>
        <w:t>Professional Summary</w:t>
      </w:r>
    </w:p>
    <w:p xmlns:wp14="http://schemas.microsoft.com/office/word/2010/wordml" w14:paraId="606725F6" wp14:textId="77777777">
      <w:pPr>
        <w:spacing w:before="20" w:after="60"/>
      </w:pPr>
      <w:r>
        <w:rPr>
          <w:rFonts w:ascii="Calibri" w:hAnsi="Calibri"/>
          <w:i w:val="0"/>
          <w:sz w:val="20"/>
        </w:rPr>
        <w:t>Enterprise architecture and data management executive with 20+ years defining technology standards, governing data platforms, and leading large-scale modernization in regulated industries — including direct experience in insurance domain architecture, enterprise policy administration systems, ACORD data standards, and IBM Industry Models for Insurance (the current evolution of the IBM Insurance Application Architecture / IAA). Establishes and governs enterprise architecture standards bodies, data management programs, metadata governance, and API/integration strategies across complex, multi-platform organizations. Proven executive track record building technology practices from zero (three practices launched, $2M–$4.5M), scaling and developing high-performing architecture and data teams (50+ at PwC, 40+ professionals into senior technical leads), and driving modernization from CTO/CIO strategy through production delivery. Currently standing up an agentic AI engineering capability at AHEAD — governing AI data pipelines, and human-in-the-loop governance gates for regulated healthcare and PBM clients. Equally credible in executive strategy sessions, architecture review boards, and hands-on design trade-offs with engineering teams.</w:t>
      </w:r>
    </w:p>
    <w:p xmlns:wp14="http://schemas.microsoft.com/office/word/2010/wordml" w14:paraId="4D6EB652" wp14:textId="77777777">
      <w:pPr>
        <w:spacing w:before="160" w:after="40"/>
        <w:pBdr>
          <w:bottom w:val="single" w:color="1F497D" w:sz="6" w:space="1"/>
        </w:pBdr>
      </w:pPr>
      <w:r>
        <w:rPr>
          <w:rFonts w:ascii="Calibri" w:hAnsi="Calibri"/>
          <w:b/>
          <w:caps/>
          <w:color w:val="1F497D"/>
          <w:sz w:val="22"/>
        </w:rPr>
        <w:t>Core Competencies</w:t>
      </w:r>
    </w:p>
    <w:tbl>
      <w:tblPr>
        <w:tblW w:w="9360" w:type="dxa"/>
        <w:tblLook w:val="04A0" w:firstRow="1" w:lastRow="0" w:firstColumn="1" w:lastColumn="0" w:noHBand="0" w:noVBand="1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60" w:type="dxa"/>
      </w:tblPr>
      <w:tblGrid>
        <w:gridCol w:w="5040"/>
        <w:gridCol w:w="5040"/>
      </w:tblGrid>
      <w:tr xmlns:wp14="http://schemas.microsoft.com/office/word/2010/wordml" w:rsidTr="0FFF692F" w14:paraId="61CF98F5" wp14:textId="77777777">
        <w:tc>
          <w:tcPr>
            <w:tcW w:w="5040" w:type="dxa"/>
            <w:tcMar/>
          </w:tcPr>
          <w:p w14:paraId="378AC049" wp14:textId="307FF7B6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Enterprise Architecture Standards &amp; Governance</w:t>
            </w:r>
          </w:p>
        </w:tc>
        <w:tc>
          <w:tcPr>
            <w:tcW w:w="5040" w:type="dxa"/>
            <w:tcMar/>
          </w:tcPr>
          <w:p w14:paraId="453AD628" wp14:textId="059483DF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Insurance Domain Architecture (IBM Industry Models / IAA, ACORD RA)</w:t>
            </w:r>
          </w:p>
        </w:tc>
      </w:tr>
      <w:tr xmlns:wp14="http://schemas.microsoft.com/office/word/2010/wordml" w:rsidTr="0FFF692F" w14:paraId="18FDBB6E" wp14:textId="77777777">
        <w:tc>
          <w:tcPr>
            <w:tcW w:w="5040" w:type="dxa"/>
            <w:tcMar/>
          </w:tcPr>
          <w:p w14:paraId="6F7D7C31" wp14:textId="7ABAEFD3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API Management &amp; Enterprise Integration Strategy</w:t>
            </w:r>
          </w:p>
        </w:tc>
        <w:tc>
          <w:tcPr>
            <w:tcW w:w="5040" w:type="dxa"/>
            <w:tcMar/>
          </w:tcPr>
          <w:p w14:paraId="44042257" wp14:textId="59A24839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Data Governance, Quality &amp; Metadata Management</w:t>
            </w:r>
          </w:p>
        </w:tc>
      </w:tr>
      <w:tr xmlns:wp14="http://schemas.microsoft.com/office/word/2010/wordml" w:rsidTr="0FFF692F" w14:paraId="5FDA418A" wp14:textId="77777777">
        <w:tc>
          <w:tcPr>
            <w:tcW w:w="5040" w:type="dxa"/>
            <w:tcMar/>
          </w:tcPr>
          <w:p w14:paraId="2817E2AD" wp14:textId="4B0E2E57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Master Data Management &amp; Golden Record Design</w:t>
            </w:r>
          </w:p>
        </w:tc>
        <w:tc>
          <w:tcPr>
            <w:tcW w:w="5040" w:type="dxa"/>
            <w:tcMar/>
          </w:tcPr>
          <w:p w14:paraId="35C8F74F" wp14:textId="5DF4E77F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Database Administration &amp; Data Platform Reliability</w:t>
            </w:r>
          </w:p>
        </w:tc>
      </w:tr>
      <w:tr xmlns:wp14="http://schemas.microsoft.com/office/word/2010/wordml" w:rsidTr="0FFF692F" w14:paraId="0B4DD0A3" wp14:textId="77777777">
        <w:tc>
          <w:tcPr>
            <w:tcW w:w="5040" w:type="dxa"/>
            <w:tcMar/>
          </w:tcPr>
          <w:p w14:paraId="647DFE01" wp14:textId="40D1018F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Enterprise Release Management &amp; Change Governance</w:t>
            </w:r>
          </w:p>
        </w:tc>
        <w:tc>
          <w:tcPr>
            <w:tcW w:w="5040" w:type="dxa"/>
            <w:tcMar/>
          </w:tcPr>
          <w:p w14:paraId="7D949EEA" wp14:textId="1FBB8895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 xml:space="preserve">CI/CD, Terraform </w:t>
            </w:r>
            <w:r w:rsidRPr="0FFF692F" w:rsidR="0FFF692F">
              <w:rPr>
                <w:rFonts w:ascii="Calibri" w:hAnsi="Calibri"/>
                <w:sz w:val="20"/>
                <w:szCs w:val="20"/>
              </w:rPr>
              <w:t>IaC</w:t>
            </w:r>
            <w:r w:rsidRPr="0FFF692F" w:rsidR="0FFF692F">
              <w:rPr>
                <w:rFonts w:ascii="Calibri" w:hAnsi="Calibri"/>
                <w:sz w:val="20"/>
                <w:szCs w:val="20"/>
              </w:rPr>
              <w:t xml:space="preserve"> &amp; Deployment Coordination</w:t>
            </w:r>
          </w:p>
        </w:tc>
      </w:tr>
      <w:tr xmlns:wp14="http://schemas.microsoft.com/office/word/2010/wordml" w:rsidTr="0FFF692F" w14:paraId="6001E8A1" wp14:textId="77777777">
        <w:tc>
          <w:tcPr>
            <w:tcW w:w="5040" w:type="dxa"/>
            <w:tcMar/>
          </w:tcPr>
          <w:p w14:paraId="61397FEE" wp14:textId="29AB7B98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Cloud-Native Platforms (AWS / Azure / GCP)</w:t>
            </w:r>
          </w:p>
        </w:tc>
        <w:tc>
          <w:tcPr>
            <w:tcW w:w="5040" w:type="dxa"/>
            <w:tcMar/>
          </w:tcPr>
          <w:p w14:paraId="64F58D88" wp14:textId="0C1A9AEB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  <w:lang w:val="fr-FR"/>
              </w:rPr>
              <w:t xml:space="preserve">AI Engineering Leadership &amp; </w:t>
            </w:r>
            <w:r w:rsidRPr="0FFF692F" w:rsidR="0FFF692F">
              <w:rPr>
                <w:rFonts w:ascii="Calibri" w:hAnsi="Calibri"/>
                <w:sz w:val="20"/>
                <w:szCs w:val="20"/>
                <w:lang w:val="fr-FR"/>
              </w:rPr>
              <w:t>Agentic</w:t>
            </w:r>
            <w:r w:rsidRPr="0FFF692F" w:rsidR="0FFF692F">
              <w:rPr>
                <w:rFonts w:ascii="Calibri" w:hAnsi="Calibri"/>
                <w:sz w:val="20"/>
                <w:szCs w:val="20"/>
                <w:lang w:val="fr-FR"/>
              </w:rPr>
              <w:t xml:space="preserve"> AI Architecture</w:t>
            </w:r>
          </w:p>
        </w:tc>
      </w:tr>
      <w:tr xmlns:wp14="http://schemas.microsoft.com/office/word/2010/wordml" w:rsidTr="0FFF692F" w14:paraId="6E56E371" wp14:textId="77777777">
        <w:tc>
          <w:tcPr>
            <w:tcW w:w="5040" w:type="dxa"/>
            <w:tcMar/>
          </w:tcPr>
          <w:p w14:paraId="043115BD" wp14:textId="4C498E2C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AI Pipeline Governance</w:t>
            </w:r>
          </w:p>
        </w:tc>
        <w:tc>
          <w:tcPr>
            <w:tcW w:w="5040" w:type="dxa"/>
            <w:tcMar/>
          </w:tcPr>
          <w:p w14:paraId="605A5F4E" wp14:textId="633A568E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Vendor Evaluation, Fit-Gap Analysis &amp; ARB Governance</w:t>
            </w:r>
          </w:p>
        </w:tc>
      </w:tr>
      <w:tr xmlns:wp14="http://schemas.microsoft.com/office/word/2010/wordml" w:rsidTr="0FFF692F" w14:paraId="71A8B7EB" wp14:textId="77777777">
        <w:tc>
          <w:tcPr>
            <w:tcW w:w="5040" w:type="dxa"/>
            <w:tcMar/>
          </w:tcPr>
          <w:p w14:paraId="0FB6439F" wp14:textId="1936A2F5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Team Development, Coaching &amp; Practice Building</w:t>
            </w:r>
          </w:p>
        </w:tc>
        <w:tc>
          <w:tcPr>
            <w:tcW w:w="5040" w:type="dxa"/>
            <w:tcMar/>
          </w:tcPr>
          <w:p w14:paraId="0831E569" wp14:textId="7D6AA6B8">
            <w:pPr>
              <w:spacing w:before="20" w:after="40"/>
            </w:pPr>
            <w:r w:rsidRPr="0FFF692F" w:rsidR="0FFF692F">
              <w:rPr>
                <w:rFonts w:ascii="Calibri" w:hAnsi="Calibri"/>
                <w:sz w:val="20"/>
                <w:szCs w:val="20"/>
              </w:rPr>
              <w:t>Executive Communication &amp; Stakeholder Alignment</w:t>
            </w:r>
          </w:p>
        </w:tc>
      </w:tr>
    </w:tbl>
    <w:p xmlns:wp14="http://schemas.microsoft.com/office/word/2010/wordml" w14:paraId="6DE4543C" wp14:textId="77777777">
      <w:pPr>
        <w:spacing w:before="160" w:after="40"/>
        <w:pBdr>
          <w:bottom w:val="single" w:color="1F497D" w:sz="6" w:space="1"/>
        </w:pBdr>
      </w:pPr>
      <w:r>
        <w:rPr>
          <w:rFonts w:ascii="Calibri" w:hAnsi="Calibri"/>
          <w:b/>
          <w:caps/>
          <w:color w:val="1F497D"/>
          <w:sz w:val="22"/>
        </w:rPr>
        <w:t>Professional Experience</w:t>
      </w:r>
    </w:p>
    <w:p xmlns:wp14="http://schemas.microsoft.com/office/word/2010/wordml" w14:paraId="7CE82FF5" wp14:textId="77777777">
      <w:pPr>
        <w:spacing w:before="120" w:after="20"/>
      </w:pPr>
      <w:r>
        <w:rPr>
          <w:rFonts w:ascii="Calibri" w:hAnsi="Calibri"/>
          <w:b/>
          <w:sz w:val="21"/>
        </w:rPr>
        <w:t>AHEAD</w:t>
      </w:r>
      <w:r>
        <w:rPr>
          <w:rFonts w:ascii="Calibri" w:hAnsi="Calibri"/>
          <w:b w:val="0"/>
          <w:color w:val="444444"/>
          <w:sz w:val="20"/>
        </w:rPr>
        <w:t xml:space="preserve">  |  Chicago, IL  |  2023 – Present</w:t>
      </w:r>
    </w:p>
    <w:p xmlns:wp14="http://schemas.microsoft.com/office/word/2010/wordml" w14:paraId="71146B17" wp14:textId="77777777">
      <w:pPr>
        <w:spacing w:before="20" w:after="60"/>
      </w:pPr>
      <w:r>
        <w:rPr>
          <w:rFonts w:ascii="Calibri" w:hAnsi="Calibri"/>
          <w:b/>
          <w:i/>
          <w:sz w:val="20"/>
        </w:rPr>
        <w:t>Principal Technical Consultant</w:t>
      </w:r>
    </w:p>
    <w:p xmlns:wp14="http://schemas.microsoft.com/office/word/2010/wordml" w14:paraId="67CD7217" wp14:textId="77777777">
      <w:pPr>
        <w:spacing w:before="20" w:after="60"/>
      </w:pPr>
      <w:r>
        <w:rPr>
          <w:rFonts w:ascii="Calibri" w:hAnsi="Calibri"/>
          <w:i w:val="0"/>
          <w:sz w:val="20"/>
        </w:rPr>
        <w:t>Senior enterprise architect and data leader governing cloud data platforms, API/integration strategies, and agentic AI frameworks for regulated healthcare and PBM clients. Establish architecture standards, release and change governance, and data management programs across multi-team delivery programs. Serve as primary architect in pre-sales and architecture review engagements.</w:t>
      </w:r>
    </w:p>
    <w:p xmlns:wp14="http://schemas.microsoft.com/office/word/2010/wordml" w14:paraId="6201F4A7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Governed enterprise architecture standards, integration design guidelines, and reference architectures across multi-client delivery programs — establishing canonical data model patterns, event-driven API ecosystem design, and technology selection criteria that delivery teams adopted and extended independently post-engagement</w:t>
      </w:r>
    </w:p>
    <w:p xmlns:wp14="http://schemas.microsoft.com/office/word/2010/wordml" w14:paraId="3531741D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Owned enterprise API and integration strategy for a PBM client spanning 20+ source systems — designed API-driven ecosystem enabling interoperability across claims, pharmacy, eligibility, and ancillary data domains via event-driven service bus; governed environment promotion (dev→UAT→prod) and change governance documentation across all platform releases using AWS Terraform IaC</w:t>
      </w:r>
    </w:p>
    <w:p xmlns:wp14="http://schemas.microsoft.com/office/word/2010/wordml" w14:paraId="371DE876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Directed enterprise data governance program including metadata management, data quality standards (Collibra DQ), and custom data mastering system with golden record design for PBM client — ensuring data treated as strategic asset supporting analytics, reporting, and AI-driven capabilities across 3 healthcare client organizations</w:t>
      </w:r>
    </w:p>
    <w:p xmlns:wp14="http://schemas.microsoft.com/office/word/2010/wordml" w14:paraId="1D55B10D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Built and led agentic AI engineering capability — designed multi-agent framework with specialized Data Steward AI and Developer AI agents automating data cataloging, lineage validation, and self-healing pipeline remediation; established human-in-the-loop governance gates controlling regulated data promotion before production</w:t>
      </w:r>
    </w:p>
    <w:p xmlns:wp14="http://schemas.microsoft.com/office/word/2010/wordml" w14:paraId="4A62D78C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Architected AI-ready consumption layer with Model Context Protocol (MCP) integration points, RAG-enabled data products, and vector database support — enabling governed AI agent queries against canonical data products without bypassing compliance controls; established enterprise agentic AI pattern preserving governance from ingestion through consumption</w:t>
      </w:r>
    </w:p>
    <w:p xmlns:wp14="http://schemas.microsoft.com/office/word/2010/wordml" w14:paraId="268DB209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Governed data platform availability, performance, and resiliency standards across production Databricks (Unity Catalog) and AWS lakehouse environments — defined SLA frameworks and operational runbooks in coordination with infrastructure and database administration teams</w:t>
      </w:r>
    </w:p>
    <w:p xmlns:wp14="http://schemas.microsoft.com/office/word/2010/wordml" w14:paraId="3A4E88F4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Conducted vendor evaluation and fit-gap analysis for Microsoft Fabric vs. Databricks — produced architectural decision record covering enterprise readiness, platform co-existence, and full-adoption migration path; Snowflake vs. Redshift evaluation for analytics consumption layer</w:t>
      </w:r>
    </w:p>
    <w:p xmlns:wp14="http://schemas.microsoft.com/office/word/2010/wordml" w14:paraId="533333B4" wp14:textId="77777777">
      <w:pPr>
        <w:spacing w:before="120" w:after="20"/>
      </w:pPr>
      <w:r>
        <w:rPr>
          <w:rFonts w:ascii="Calibri" w:hAnsi="Calibri"/>
          <w:b/>
          <w:sz w:val="21"/>
        </w:rPr>
        <w:t>PRICEWATERHOUSECOOPERS (PwC)</w:t>
      </w:r>
      <w:r>
        <w:rPr>
          <w:rFonts w:ascii="Calibri" w:hAnsi="Calibri"/>
          <w:b w:val="0"/>
          <w:color w:val="444444"/>
          <w:sz w:val="20"/>
        </w:rPr>
        <w:t xml:space="preserve">  |  Chicago, IL  |  2020 – 2023</w:t>
      </w:r>
    </w:p>
    <w:p xmlns:wp14="http://schemas.microsoft.com/office/word/2010/wordml" w14:paraId="26DF2B74" wp14:textId="77777777">
      <w:pPr>
        <w:spacing w:before="20" w:after="60"/>
      </w:pPr>
      <w:r>
        <w:rPr>
          <w:rFonts w:ascii="Calibri" w:hAnsi="Calibri"/>
          <w:b/>
          <w:i/>
          <w:sz w:val="20"/>
        </w:rPr>
        <w:t>Director, Advisory, Data Architecture</w:t>
      </w:r>
    </w:p>
    <w:p xmlns:wp14="http://schemas.microsoft.com/office/word/2010/wordml" w14:paraId="673EB609" wp14:textId="77777777">
      <w:pPr>
        <w:spacing w:before="20" w:after="60"/>
      </w:pPr>
      <w:r>
        <w:rPr>
          <w:rFonts w:ascii="Calibri" w:hAnsi="Calibri"/>
          <w:i w:val="0"/>
          <w:sz w:val="20"/>
        </w:rPr>
        <w:t>Chief architect directing Data as a Product capability. Established enterprise architecture standards and data governance frameworks across a distributed global team of 50+ with $5M+ budget, including insurance-vertical canonical data models sourced from Guidewire policy administration systems.</w:t>
      </w:r>
    </w:p>
    <w:p xmlns:wp14="http://schemas.microsoft.com/office/word/2010/wordml" w14:paraId="4FB03A85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Established enterprise architecture standards and canonical data model framework governing reference architectures across Azure, AWS, and GCP — shared DSL configuration metadata, source-to-target mappings, and API-governed data product definitions; achieved senior partner alignment preventing hyperscaler fragmentation across three separate platform implementations</w:t>
      </w:r>
    </w:p>
    <w:p xmlns:wp14="http://schemas.microsoft.com/office/word/2010/wordml" w14:paraId="7EDBF863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Architected insurance-vertical canonical data models sourced from Guidewire policy administration system — modeled policy, claims, billing, and agent distribution domains as governed data products aligned to insurance business architecture and enterprise data governance standards</w:t>
      </w:r>
    </w:p>
    <w:p xmlns:wp14="http://schemas.microsoft.com/office/word/2010/wordml" w14:paraId="1D18DE4C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Governed metadata management, data quality frameworks, and DataOps practices across enterprise data pipelines — integrated expectation-based validation, lineage tracking, and data stewardship workflows as first-class platform artifacts</w:t>
      </w:r>
    </w:p>
    <w:p xmlns:wp14="http://schemas.microsoft.com/office/word/2010/wordml" w14:paraId="33BF60C2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Participated in and supported architecture review board (ARB) governance for enterprise-wide platform design decisions — setting integration pattern standards, API contract governance, and data product definition criteria across delivery teams</w:t>
      </w:r>
    </w:p>
    <w:p xmlns:wp14="http://schemas.microsoft.com/office/word/2010/wordml" w14:paraId="6F9D09A2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Led release management and change governance for multi-cloud platform deployments — established environment management standards, deployment coordination processes, production readiness reviews, and rollback procedures across Azure, AWS, and GCP release trains</w:t>
      </w:r>
    </w:p>
    <w:p xmlns:wp14="http://schemas.microsoft.com/office/word/2010/wordml" w14:paraId="67AB8E0F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Resolved executive misalignment on data quality expectations in real-time (MVP 65% vs. production 90%) — named the gap, explained contract assumptions, achieved C-level consensus on production-level targets with documented client enablement path</w:t>
      </w:r>
    </w:p>
    <w:p xmlns:wp14="http://schemas.microsoft.com/office/word/2010/wordml" w:rsidP="0FFF692F" w14:paraId="0DBDEE1D" wp14:textId="4F088114">
      <w:pPr>
        <w:spacing w:before="120" w:after="20"/>
        <w:rPr>
          <w:rFonts w:ascii="Calibri" w:hAnsi="Calibri"/>
          <w:b w:val="1"/>
          <w:bCs w:val="1"/>
          <w:sz w:val="21"/>
          <w:szCs w:val="21"/>
        </w:rPr>
      </w:pPr>
    </w:p>
    <w:p xmlns:wp14="http://schemas.microsoft.com/office/word/2010/wordml" w14:paraId="53CE31EA" wp14:textId="52B8CA79">
      <w:pPr>
        <w:spacing w:before="120" w:after="20"/>
      </w:pPr>
      <w:r>
        <w:br w:type="page"/>
      </w:r>
    </w:p>
    <w:p xmlns:wp14="http://schemas.microsoft.com/office/word/2010/wordml" w:rsidP="0FFF692F" w14:paraId="40C5A41E" wp14:textId="629D0FB9">
      <w:pPr>
        <w:pStyle w:val="Normal"/>
        <w:spacing w:before="120" w:after="20"/>
      </w:pPr>
      <w:r w:rsidRPr="0FFF692F" w:rsidR="0FFF692F">
        <w:rPr>
          <w:rFonts w:ascii="Calibri" w:hAnsi="Calibri"/>
          <w:b w:val="1"/>
          <w:bCs w:val="1"/>
          <w:sz w:val="21"/>
          <w:szCs w:val="21"/>
        </w:rPr>
        <w:t xml:space="preserve">SPR </w:t>
      </w:r>
      <w:r w:rsidRPr="0FFF692F" w:rsidR="0FFF692F">
        <w:rPr>
          <w:rFonts w:ascii="Calibri" w:hAnsi="Calibri"/>
          <w:b w:val="1"/>
          <w:bCs w:val="1"/>
          <w:sz w:val="21"/>
          <w:szCs w:val="21"/>
        </w:rPr>
        <w:t>CONSULTING</w:t>
      </w:r>
      <w:r w:rsidRPr="0FFF692F" w:rsidR="0FFF692F">
        <w:rPr>
          <w:rFonts w:ascii="Calibri" w:hAnsi="Calibri"/>
          <w:b w:val="0"/>
          <w:bCs w:val="0"/>
          <w:color w:val="444444"/>
          <w:sz w:val="20"/>
          <w:szCs w:val="20"/>
        </w:rPr>
        <w:t xml:space="preserve">  |</w:t>
      </w:r>
      <w:r w:rsidRPr="0FFF692F" w:rsidR="0FFF692F">
        <w:rPr>
          <w:rFonts w:ascii="Calibri" w:hAnsi="Calibri"/>
          <w:b w:val="0"/>
          <w:bCs w:val="0"/>
          <w:color w:val="444444"/>
          <w:sz w:val="20"/>
          <w:szCs w:val="20"/>
        </w:rPr>
        <w:t xml:space="preserve">  Chicago, </w:t>
      </w:r>
      <w:r w:rsidRPr="0FFF692F" w:rsidR="0FFF692F">
        <w:rPr>
          <w:rFonts w:ascii="Calibri" w:hAnsi="Calibri"/>
          <w:b w:val="0"/>
          <w:bCs w:val="0"/>
          <w:color w:val="444444"/>
          <w:sz w:val="20"/>
          <w:szCs w:val="20"/>
        </w:rPr>
        <w:t>IL  |</w:t>
      </w:r>
      <w:r w:rsidRPr="0FFF692F" w:rsidR="0FFF692F">
        <w:rPr>
          <w:rFonts w:ascii="Calibri" w:hAnsi="Calibri"/>
          <w:b w:val="0"/>
          <w:bCs w:val="0"/>
          <w:color w:val="444444"/>
          <w:sz w:val="20"/>
          <w:szCs w:val="20"/>
        </w:rPr>
        <w:t xml:space="preserve">  2018 – 2020</w:t>
      </w:r>
    </w:p>
    <w:p xmlns:wp14="http://schemas.microsoft.com/office/word/2010/wordml" w14:paraId="273F6C10" wp14:textId="77777777">
      <w:pPr>
        <w:spacing w:before="20" w:after="60"/>
      </w:pPr>
      <w:r>
        <w:rPr>
          <w:rFonts w:ascii="Calibri" w:hAnsi="Calibri"/>
          <w:b/>
          <w:i/>
          <w:sz w:val="20"/>
        </w:rPr>
        <w:t>Executive Director, Data, Analytics and Machine Learning</w:t>
      </w:r>
    </w:p>
    <w:p xmlns:wp14="http://schemas.microsoft.com/office/word/2010/wordml" w14:paraId="217A2DDD" wp14:textId="47DFCE23">
      <w:pPr>
        <w:spacing w:before="20" w:after="60"/>
      </w:pPr>
      <w:r w:rsidRPr="0FFF692F" w:rsidR="0FFF692F">
        <w:rPr>
          <w:rFonts w:ascii="Calibri" w:hAnsi="Calibri"/>
          <w:i w:val="0"/>
          <w:iCs w:val="0"/>
          <w:sz w:val="20"/>
          <w:szCs w:val="20"/>
        </w:rPr>
        <w:t>Practice owner with full P&amp;L, HR, and client satisfaction responsibility. Sold and delivered analytics, BI, AI/ML, and cloud data platform services on Azure and AWS.</w:t>
      </w:r>
    </w:p>
    <w:p xmlns:wp14="http://schemas.microsoft.com/office/word/2010/wordml" w14:paraId="148A0932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Built data and analytics practice from zero to $4.5M revenue in under 3 years — delivered first event-driven cloud data platforms on Azure (global professional services firm) and AWS (marketing technology client); created Cloud Data Platform Accelerator reducing client startup costs 40%</w:t>
      </w:r>
    </w:p>
    <w:p xmlns:wp14="http://schemas.microsoft.com/office/word/2010/wordml" w14:paraId="2778C76D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Increased practice profitability 40% and capacity 300% in under one year through modern technology adoption and strategic service portfolio expansion</w:t>
      </w:r>
    </w:p>
    <w:p xmlns:wp14="http://schemas.microsoft.com/office/word/2010/wordml" w14:paraId="3FCA8E2F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Improved revenue stream predictability 40% through long-term pipeline development, shifting from project-to-project uncertainty to sustainable growth; developed and retained high-performing engineering and analytics teams through individualized career development and coaching</w:t>
      </w:r>
    </w:p>
    <w:p xmlns:wp14="http://schemas.microsoft.com/office/word/2010/wordml" w14:paraId="0B80AB66" wp14:textId="77777777">
      <w:pPr>
        <w:spacing w:before="120" w:after="20"/>
      </w:pPr>
      <w:r>
        <w:rPr>
          <w:rFonts w:ascii="Calibri" w:hAnsi="Calibri"/>
          <w:b/>
          <w:sz w:val="21"/>
        </w:rPr>
        <w:t>CAPGEMINI (SOGETI)</w:t>
      </w:r>
      <w:r>
        <w:rPr>
          <w:rFonts w:ascii="Calibri" w:hAnsi="Calibri"/>
          <w:b w:val="0"/>
          <w:color w:val="444444"/>
          <w:sz w:val="20"/>
        </w:rPr>
        <w:t xml:space="preserve">  |  Westchester, IL  |  2017 – 2018</w:t>
      </w:r>
    </w:p>
    <w:p xmlns:wp14="http://schemas.microsoft.com/office/word/2010/wordml" w14:paraId="3F5C0AEC" wp14:textId="77777777">
      <w:pPr>
        <w:spacing w:before="20" w:after="60"/>
      </w:pPr>
      <w:r>
        <w:rPr>
          <w:rFonts w:ascii="Calibri" w:hAnsi="Calibri"/>
          <w:b/>
          <w:i/>
          <w:sz w:val="20"/>
        </w:rPr>
        <w:t>Senior Manager</w:t>
      </w:r>
    </w:p>
    <w:p xmlns:wp14="http://schemas.microsoft.com/office/word/2010/wordml" w14:paraId="5F0F76C0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Directed enterprise data integration platform modernization for a large enterprise client — designed cloud-agnostic Azure architecture with open-source technologies; governed on/offshore delivery team with budgets up to $4M ensuring production readiness and operational stability</w:t>
      </w:r>
    </w:p>
    <w:p xmlns:wp14="http://schemas.microsoft.com/office/word/2010/wordml" w14:paraId="437994F0" wp14:textId="77777777">
      <w:pPr>
        <w:spacing w:before="120" w:after="20"/>
      </w:pPr>
      <w:r>
        <w:rPr>
          <w:rFonts w:ascii="Calibri" w:hAnsi="Calibri"/>
          <w:b/>
          <w:sz w:val="21"/>
        </w:rPr>
        <w:t>NVISIA</w:t>
      </w:r>
      <w:r>
        <w:rPr>
          <w:rFonts w:ascii="Calibri" w:hAnsi="Calibri"/>
          <w:b w:val="0"/>
          <w:color w:val="444444"/>
          <w:sz w:val="20"/>
        </w:rPr>
        <w:t xml:space="preserve">  |  Chicago, IL  |  2012 – 2017</w:t>
      </w:r>
    </w:p>
    <w:p xmlns:wp14="http://schemas.microsoft.com/office/word/2010/wordml" w14:paraId="6CC18B14" wp14:textId="77777777">
      <w:pPr>
        <w:spacing w:before="20" w:after="60"/>
      </w:pPr>
      <w:r>
        <w:rPr>
          <w:rFonts w:ascii="Calibri" w:hAnsi="Calibri"/>
          <w:b/>
          <w:i/>
          <w:sz w:val="20"/>
        </w:rPr>
        <w:t>Director, Data Architecture Management (promoted 2015)</w:t>
      </w:r>
    </w:p>
    <w:p xmlns:wp14="http://schemas.microsoft.com/office/word/2010/wordml" w14:paraId="5502369F" wp14:textId="5D0E4117">
      <w:pPr>
        <w:spacing w:before="20" w:after="60"/>
      </w:pPr>
      <w:r w:rsidRPr="0FFF692F" w:rsidR="0FFF692F">
        <w:rPr>
          <w:rFonts w:ascii="Calibri" w:hAnsi="Calibri"/>
          <w:i w:val="0"/>
          <w:iCs w:val="0"/>
          <w:sz w:val="20"/>
          <w:szCs w:val="20"/>
        </w:rPr>
        <w:t xml:space="preserve">Created and led </w:t>
      </w:r>
      <w:r w:rsidRPr="0FFF692F" w:rsidR="0FFF692F">
        <w:rPr>
          <w:rFonts w:ascii="Calibri" w:hAnsi="Calibri"/>
          <w:i w:val="0"/>
          <w:iCs w:val="0"/>
          <w:sz w:val="20"/>
          <w:szCs w:val="20"/>
        </w:rPr>
        <w:t>company's</w:t>
      </w:r>
      <w:r w:rsidRPr="0FFF692F" w:rsidR="0FFF692F">
        <w:rPr>
          <w:rFonts w:ascii="Calibri" w:hAnsi="Calibri"/>
          <w:i w:val="0"/>
          <w:iCs w:val="0"/>
          <w:sz w:val="20"/>
          <w:szCs w:val="20"/>
        </w:rPr>
        <w:t xml:space="preserve"> first Data Practice with full P&amp;L responsibility. Defined strategy, service catalog, and career paths. Architected data and integration solutions across insurance, healthcare, financial services, and manufacturing clients.</w:t>
      </w:r>
    </w:p>
    <w:p xmlns:wp14="http://schemas.microsoft.com/office/word/2010/wordml" w14:paraId="4B2397CC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Designed claims and policy data model architecture for Fort Dearborn Life — modeled insurance claims processing workflows, policy lifecycle data, and reporting structures for a regulated life insurance environment; governed data architecture standards for policy, coverage, and benefit data domains</w:t>
      </w:r>
    </w:p>
    <w:p xmlns:wp14="http://schemas.microsoft.com/office/word/2010/wordml" w14:paraId="761376A2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Co-designed provider network data model for AIM Specialty Health (now Elevance) — modeled provider credentialing, specialty referral authorization, and payer-provider relationship data; facilitated executive discovery workshops aligning business and technology stakeholders across membership and provider domains</w:t>
      </w:r>
    </w:p>
    <w:p xmlns:wp14="http://schemas.microsoft.com/office/word/2010/wordml" w14:paraId="16B5105A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Led data architecture for healthcare payer ACA risk assessment system — governed clinical data quality and compliance frameworks for federal CMS regulatory reporting and ACA risk corridor compliance</w:t>
      </w:r>
    </w:p>
    <w:p xmlns:wp14="http://schemas.microsoft.com/office/word/2010/wordml" w14:paraId="0F5C9610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Co-led Meaningful Use EHR reporting product deployed at Advocate Health Care and Southern Illinois Healthcare — HL7/FHIR-compliant CMS reporting with Meditech EHR integration; both clients attested Stage 1 and Stage 2</w:t>
      </w:r>
    </w:p>
    <w:p xmlns:wp14="http://schemas.microsoft.com/office/word/2010/wordml" w14:paraId="44B78E2B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Established Data/Analytics practice and first Machine Learning service offering from zero to $3M with 40% profit margin; developed 40+ engineers and analysts into senior architects through individualized growth plans, reducing engagement costs 15% through reusable reference architectures</w:t>
      </w:r>
    </w:p>
    <w:p xmlns:wp14="http://schemas.microsoft.com/office/word/2010/wordml" w14:paraId="7329E65B" wp14:textId="77777777">
      <w:pPr>
        <w:spacing w:before="120" w:after="20"/>
      </w:pPr>
      <w:r>
        <w:rPr>
          <w:rFonts w:ascii="Calibri" w:hAnsi="Calibri"/>
          <w:b/>
          <w:sz w:val="21"/>
        </w:rPr>
        <w:t>PSC GROUP</w:t>
      </w:r>
      <w:r>
        <w:rPr>
          <w:rFonts w:ascii="Calibri" w:hAnsi="Calibri"/>
          <w:b w:val="0"/>
          <w:color w:val="444444"/>
          <w:sz w:val="20"/>
        </w:rPr>
        <w:t xml:space="preserve">  |  Schaumburg, IL  |  2005 – 2012</w:t>
      </w:r>
    </w:p>
    <w:p xmlns:wp14="http://schemas.microsoft.com/office/word/2010/wordml" w14:paraId="0FD9271B" wp14:textId="698D43CA">
      <w:pPr>
        <w:spacing w:before="20" w:after="60"/>
      </w:pPr>
      <w:r w:rsidRPr="0FFF692F" w:rsidR="0FFF692F">
        <w:rPr>
          <w:rFonts w:ascii="Calibri" w:hAnsi="Calibri"/>
          <w:b w:val="1"/>
          <w:bCs w:val="1"/>
          <w:i w:val="1"/>
          <w:iCs w:val="1"/>
          <w:sz w:val="20"/>
          <w:szCs w:val="20"/>
        </w:rPr>
        <w:t>Vice President, Practice Lead</w:t>
      </w:r>
    </w:p>
    <w:p xmlns:wp14="http://schemas.microsoft.com/office/word/2010/wordml" w14:paraId="5FE76EB5" wp14:textId="5C29DACC">
      <w:pPr>
        <w:spacing w:before="20" w:after="60"/>
      </w:pPr>
      <w:r w:rsidRPr="0FFF692F" w:rsidR="0FFF692F">
        <w:rPr>
          <w:rFonts w:ascii="Calibri" w:hAnsi="Calibri"/>
          <w:i w:val="0"/>
          <w:iCs w:val="0"/>
          <w:sz w:val="20"/>
          <w:szCs w:val="20"/>
        </w:rPr>
        <w:t>Led open-source application development practice — pursuits, delivery, vendor relationships, and team development across financial services and regulated industries.</w:t>
      </w:r>
    </w:p>
    <w:p xmlns:wp14="http://schemas.microsoft.com/office/word/2010/wordml" w14:paraId="41F1BB92" wp14:textId="7FD1386F">
      <w:pPr>
        <w:pStyle w:val="ListBullet"/>
        <w:spacing w:before="20" w:after="40"/>
        <w:ind w:left="288"/>
        <w:rPr/>
      </w:pPr>
      <w:r w:rsidRPr="0FFF692F" w:rsidR="0FFF692F">
        <w:rPr>
          <w:rFonts w:ascii="Calibri" w:hAnsi="Calibri"/>
          <w:sz w:val="20"/>
          <w:szCs w:val="20"/>
        </w:rPr>
        <w:t>Directed 4-year enterprise data management and platform engagement at Global Futures Clearing Merchant — built canonical data models for financial instruments, contracts, and positions supporting worldwide front, middle, and back office operations across millions of transactions per session; governed DBA teams ensuring platform availability, performance, and resiliency to 15-minute latency targets</w:t>
      </w:r>
    </w:p>
    <w:p xmlns:wp14="http://schemas.microsoft.com/office/word/2010/wordml" w14:paraId="6D6F19CF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Launched Open-Source Application Development practice from zero to $2M, exceeding margin targets in first year with minimal investment — demonstrating ability to build and scale new capabilities with constrained resources</w:t>
      </w:r>
    </w:p>
    <w:p xmlns:wp14="http://schemas.microsoft.com/office/word/2010/wordml" w14:paraId="3F658B32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Formalized coaching layer: established "second tier of seniors" through dedicated development time, creating a sustainable technical talent pipeline and reducing single-point-of-failure mentorship dependency</w:t>
      </w:r>
    </w:p>
    <w:p xmlns:wp14="http://schemas.microsoft.com/office/word/2010/wordml" w14:paraId="1D2A96B6" wp14:textId="77777777">
      <w:pPr>
        <w:spacing w:before="160" w:after="40"/>
        <w:pBdr>
          <w:bottom w:val="single" w:color="1F497D" w:sz="6" w:space="1"/>
        </w:pBdr>
      </w:pPr>
      <w:r>
        <w:rPr>
          <w:rFonts w:ascii="Calibri" w:hAnsi="Calibri"/>
          <w:b/>
          <w:caps/>
          <w:color w:val="1F497D"/>
          <w:sz w:val="22"/>
        </w:rPr>
        <w:t>Early Career</w:t>
      </w:r>
    </w:p>
    <w:p xmlns:wp14="http://schemas.microsoft.com/office/word/2010/wordml" w14:paraId="6F4A911B" wp14:textId="77777777">
      <w:pPr>
        <w:spacing w:before="120" w:after="20"/>
      </w:pPr>
      <w:r>
        <w:rPr>
          <w:rFonts w:ascii="Calibri" w:hAnsi="Calibri"/>
          <w:b/>
          <w:sz w:val="21"/>
        </w:rPr>
        <w:t>KEMPER INSURANCE</w:t>
      </w:r>
      <w:r>
        <w:rPr>
          <w:rFonts w:ascii="Calibri" w:hAnsi="Calibri"/>
          <w:b w:val="0"/>
          <w:color w:val="444444"/>
          <w:sz w:val="20"/>
        </w:rPr>
        <w:t xml:space="preserve">  |  Chicago, IL</w:t>
      </w:r>
    </w:p>
    <w:p xmlns:wp14="http://schemas.microsoft.com/office/word/2010/wordml" w14:paraId="059F8755" wp14:textId="76132DB6">
      <w:pPr>
        <w:spacing w:before="20" w:after="60"/>
      </w:pPr>
      <w:r w:rsidRPr="0FFF692F" w:rsidR="0FFF692F">
        <w:rPr>
          <w:rFonts w:ascii="Calibri" w:hAnsi="Calibri"/>
          <w:b w:val="1"/>
          <w:bCs w:val="1"/>
          <w:i w:val="1"/>
          <w:iCs w:val="1"/>
          <w:sz w:val="20"/>
          <w:szCs w:val="20"/>
        </w:rPr>
        <w:t xml:space="preserve">Senior Rules Engine Architect / Enterprise Architect </w:t>
      </w:r>
      <w:r w:rsidRPr="0FFF692F" w:rsidR="0FFF692F">
        <w:rPr>
          <w:rFonts w:ascii="Calibri" w:hAnsi="Calibri"/>
          <w:b w:val="1"/>
          <w:bCs w:val="1"/>
          <w:i w:val="1"/>
          <w:iCs w:val="1"/>
          <w:sz w:val="20"/>
          <w:szCs w:val="20"/>
        </w:rPr>
        <w:t>—  Commercial</w:t>
      </w:r>
      <w:r w:rsidRPr="0FFF692F" w:rsidR="0FFF692F">
        <w:rPr>
          <w:rFonts w:ascii="Calibri" w:hAnsi="Calibri"/>
          <w:b w:val="1"/>
          <w:bCs w:val="1"/>
          <w:i w:val="1"/>
          <w:iCs w:val="1"/>
          <w:sz w:val="20"/>
          <w:szCs w:val="20"/>
        </w:rPr>
        <w:t xml:space="preserve"> Insurance (BOP, Workers Comp, Commercial Auto, Umbrella)</w:t>
      </w:r>
    </w:p>
    <w:p xmlns:wp14="http://schemas.microsoft.com/office/word/2010/wordml" w14:paraId="31173D8B" wp14:textId="07D61CA4">
      <w:pPr>
        <w:spacing w:before="20" w:after="60"/>
      </w:pPr>
      <w:r w:rsidRPr="0FFF692F" w:rsidR="0FFF692F">
        <w:rPr>
          <w:rFonts w:ascii="Calibri" w:hAnsi="Calibri"/>
          <w:i w:val="0"/>
          <w:iCs w:val="0"/>
          <w:sz w:val="20"/>
          <w:szCs w:val="20"/>
        </w:rPr>
        <w:t>Delivered enterprise architecture for a custom policy administration system governing rating rules and underwriting guidelines across business lines in a regulated insurance environment.</w:t>
      </w:r>
    </w:p>
    <w:p xmlns:wp14="http://schemas.microsoft.com/office/word/2010/wordml" w14:paraId="07F46F4D" wp14:textId="7472EE43">
      <w:pPr>
        <w:pStyle w:val="ListBullet"/>
        <w:spacing w:before="20" w:after="40"/>
        <w:ind w:left="288"/>
        <w:rPr/>
      </w:pPr>
      <w:r w:rsidRPr="0FFF692F" w:rsidR="0FFF692F">
        <w:rPr>
          <w:rFonts w:ascii="Calibri" w:hAnsi="Calibri"/>
          <w:sz w:val="20"/>
          <w:szCs w:val="20"/>
        </w:rPr>
        <w:t>Architected enterprise rules engine and data layer for Kemper's custom policy administration system — modeled rating rules, underwriting guidelines, and business logic governance across commercial insurance product lines with full insurance lifecycle coverage (policy, coverage, risk, premium, loss, claims)</w:t>
      </w:r>
    </w:p>
    <w:p xmlns:wp14="http://schemas.microsoft.com/office/word/2010/wordml" w14:paraId="45678EC0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Applied IBM Industry Models for Insurance (IBM IAA) as the enterprise architecture framework governing insurance domain decomposition — structured canonical data model design across the IAA's functional domains: Policy Administration, Underwriting, Claim Management, Intermediary Management, and Financial Transaction; domain entity definitions aligned to the ACORD Reference Architecture Information and Technical Models (Policy, Party, Coverage, Claim, Product) for standards-based interoperability</w:t>
      </w:r>
    </w:p>
    <w:p xmlns:wp14="http://schemas.microsoft.com/office/word/2010/wordml" w14:paraId="5F7487D3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Implemented ACORD data standards extensively — ACORD XML for structured data exchange, ACORD Reference Architecture Technical Model as the canonical entity layer, and ACORD data standards as the integration contract governing policy, billing, claims, and producer/distribution data flows across internal and external system boundaries</w:t>
      </w:r>
    </w:p>
    <w:p xmlns:wp14="http://schemas.microsoft.com/office/word/2010/wordml" w14:paraId="4408203A" wp14:textId="77777777">
      <w:pPr>
        <w:spacing w:before="120" w:after="20"/>
      </w:pPr>
      <w:r>
        <w:rPr>
          <w:rFonts w:ascii="Calibri" w:hAnsi="Calibri"/>
          <w:b/>
          <w:sz w:val="21"/>
        </w:rPr>
        <w:t>HEALTH CARE SERVICE CORPORATION (HCSC — Illinois Blue Cross Blue Shield)</w:t>
      </w:r>
      <w:r>
        <w:rPr>
          <w:rFonts w:ascii="Calibri" w:hAnsi="Calibri"/>
          <w:b w:val="0"/>
          <w:color w:val="444444"/>
          <w:sz w:val="20"/>
        </w:rPr>
        <w:t xml:space="preserve">  |  Chicago, IL</w:t>
      </w:r>
    </w:p>
    <w:p xmlns:wp14="http://schemas.microsoft.com/office/word/2010/wordml" w14:paraId="3D487359" wp14:textId="77777777">
      <w:pPr>
        <w:spacing w:before="20" w:after="60"/>
      </w:pPr>
      <w:r>
        <w:rPr>
          <w:rFonts w:ascii="Calibri" w:hAnsi="Calibri"/>
          <w:b/>
          <w:i/>
          <w:sz w:val="20"/>
        </w:rPr>
        <w:t>Senior Technical Architect — Health Insurance</w:t>
      </w:r>
    </w:p>
    <w:p xmlns:wp14="http://schemas.microsoft.com/office/word/2010/wordml" w14:paraId="5CC258A8" wp14:textId="77777777">
      <w:pPr>
        <w:spacing w:before="20" w:after="60"/>
      </w:pPr>
      <w:r>
        <w:rPr>
          <w:rFonts w:ascii="Calibri" w:hAnsi="Calibri"/>
          <w:i w:val="0"/>
          <w:sz w:val="20"/>
        </w:rPr>
        <w:t>Enterprise data and integration architecture for one of the nation's largest health insurance carriers — provider network, member enrollment, and claims data platforms for regulated health insurance operations across Illinois and multi-state markets.</w:t>
      </w:r>
    </w:p>
    <w:p xmlns:wp14="http://schemas.microsoft.com/office/word/2010/wordml" w14:paraId="6A57AAD5" wp14:textId="77777777">
      <w:pPr>
        <w:spacing w:before="160" w:after="40"/>
        <w:pBdr>
          <w:bottom w:val="single" w:color="1F497D" w:sz="6" w:space="1"/>
        </w:pBdr>
      </w:pPr>
      <w:r>
        <w:rPr>
          <w:rFonts w:ascii="Calibri" w:hAnsi="Calibri"/>
          <w:b/>
          <w:caps/>
          <w:color w:val="1F497D"/>
          <w:sz w:val="22"/>
        </w:rPr>
        <w:t>Data &amp; AI Innovation</w:t>
      </w:r>
    </w:p>
    <w:p xmlns:wp14="http://schemas.microsoft.com/office/word/2010/wordml" w14:paraId="02242564" wp14:textId="6D4F07E5">
      <w:pPr>
        <w:spacing w:before="20" w:after="60"/>
      </w:pPr>
      <w:r w:rsidRPr="0FFF692F" w:rsidR="0FFF692F">
        <w:rPr>
          <w:rFonts w:ascii="Calibri" w:hAnsi="Calibri"/>
          <w:i w:val="0"/>
          <w:iCs w:val="0"/>
          <w:sz w:val="20"/>
          <w:szCs w:val="20"/>
        </w:rPr>
        <w:t>Building production agentic AI platform integrating local GPU inference (</w:t>
      </w:r>
      <w:r w:rsidRPr="0FFF692F" w:rsidR="0FFF692F">
        <w:rPr>
          <w:rFonts w:ascii="Calibri" w:hAnsi="Calibri"/>
          <w:i w:val="0"/>
          <w:iCs w:val="0"/>
          <w:sz w:val="20"/>
          <w:szCs w:val="20"/>
        </w:rPr>
        <w:t>vLLM</w:t>
      </w:r>
      <w:r w:rsidRPr="0FFF692F" w:rsidR="0FFF692F">
        <w:rPr>
          <w:rFonts w:ascii="Calibri" w:hAnsi="Calibri"/>
          <w:i w:val="0"/>
          <w:iCs w:val="0"/>
          <w:sz w:val="20"/>
          <w:szCs w:val="20"/>
        </w:rPr>
        <w:t>), knowledge graphs (</w:t>
      </w:r>
      <w:r w:rsidRPr="0FFF692F" w:rsidR="0FFF692F">
        <w:rPr>
          <w:rFonts w:ascii="Calibri" w:hAnsi="Calibri"/>
          <w:i w:val="0"/>
          <w:iCs w:val="0"/>
          <w:sz w:val="20"/>
          <w:szCs w:val="20"/>
        </w:rPr>
        <w:t>ArangoDB</w:t>
      </w:r>
      <w:r w:rsidRPr="0FFF692F" w:rsidR="0FFF692F">
        <w:rPr>
          <w:rFonts w:ascii="Calibri" w:hAnsi="Calibri"/>
          <w:i w:val="0"/>
          <w:iCs w:val="0"/>
          <w:sz w:val="20"/>
          <w:szCs w:val="20"/>
        </w:rPr>
        <w:t>), multi-agent orchestration, and RAG pipelines — applied to enterprise data governance, automated lineage validation, and AI-enabled operational workflow automation. Governing  AI pipeline design, and human-in-the-loop review gates ensuring AI-generated outputs meet regulatory and data quality compliance standards before production promotion. Continuously evaluating AI/ML frameworks for responsible, governance-first enterprise AI enablement across regulated data environments.</w:t>
      </w:r>
    </w:p>
    <w:p xmlns:wp14="http://schemas.microsoft.com/office/word/2010/wordml" w14:paraId="486C2977" wp14:textId="77777777">
      <w:pPr>
        <w:spacing w:before="160" w:after="40"/>
        <w:pBdr>
          <w:bottom w:val="single" w:color="1F497D" w:sz="6" w:space="1"/>
        </w:pBdr>
      </w:pPr>
      <w:r>
        <w:rPr>
          <w:rFonts w:ascii="Calibri" w:hAnsi="Calibri"/>
          <w:b/>
          <w:caps/>
          <w:color w:val="1F497D"/>
          <w:sz w:val="22"/>
        </w:rPr>
        <w:t>Education &amp; Professional Development</w:t>
      </w:r>
    </w:p>
    <w:p xmlns:wp14="http://schemas.microsoft.com/office/word/2010/wordml" w14:paraId="48EA0B77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ME, Concurrent Design Management — Stevens Institute of Technology, Hoboken, NJ</w:t>
      </w:r>
    </w:p>
    <w:p xmlns:wp14="http://schemas.microsoft.com/office/word/2010/wordml" w14:paraId="0389B06F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BS, Marine Engineering Systems — United States Merchant Marine Academy, Kings Point, NY</w:t>
      </w:r>
    </w:p>
    <w:p xmlns:wp14="http://schemas.microsoft.com/office/word/2010/wordml" w14:paraId="44BC361F" wp14:textId="77777777">
      <w:pPr>
        <w:pStyle w:val="ListBullet"/>
        <w:spacing w:before="20" w:after="40"/>
        <w:ind w:left="288"/>
        <w:rPr/>
      </w:pPr>
      <w:r w:rsidRPr="0FFF692F" w:rsidR="0FFF692F">
        <w:rPr>
          <w:rFonts w:ascii="Calibri" w:hAnsi="Calibri"/>
          <w:sz w:val="20"/>
          <w:szCs w:val="20"/>
        </w:rPr>
        <w:t>Essentials of Executive Leadership — Booth School of Business, University of Chicago</w:t>
      </w:r>
    </w:p>
    <w:p xmlns:wp14="http://schemas.microsoft.com/office/word/2010/wordml" w14:paraId="5359C7DA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IBM Industry Models for Insurance (IBM IAA) — applied insurance enterprise architecture framework; ACORD Reference Architecture and Technical Model — insurance canonical data standards</w:t>
      </w:r>
    </w:p>
    <w:p xmlns:wp14="http://schemas.microsoft.com/office/word/2010/wordml" w:rsidP="0FFF692F" w14:paraId="308D2153" wp14:textId="298FCDE0">
      <w:pPr>
        <w:pBdr>
          <w:bottom w:val="single" w:color="1F497D" w:sz="6" w:space="1"/>
        </w:pBdr>
        <w:spacing w:before="160" w:after="40"/>
        <w:pBdr>
          <w:bottom w:val="single" w:color="1F497D" w:sz="6" w:space="1"/>
        </w:pBdr>
        <w:rPr>
          <w:rFonts w:ascii="Calibri" w:hAnsi="Calibri"/>
          <w:b w:val="1"/>
          <w:bCs w:val="1"/>
          <w:caps w:val="1"/>
          <w:color w:val="1F497D" w:themeColor="text2" w:themeTint="FF" w:themeShade="FF"/>
          <w:sz w:val="22"/>
          <w:szCs w:val="22"/>
        </w:rPr>
      </w:pPr>
    </w:p>
    <w:p xmlns:wp14="http://schemas.microsoft.com/office/word/2010/wordml" w14:paraId="00E8608A" wp14:textId="115CBD60">
      <w:pPr>
        <w:spacing w:before="160" w:after="40"/>
        <w:pBdr>
          <w:bottom w:val="single" w:color="1F497D" w:sz="6" w:space="1"/>
        </w:pBdr>
      </w:pPr>
      <w:r>
        <w:br w:type="page"/>
      </w:r>
    </w:p>
    <w:p xmlns:wp14="http://schemas.microsoft.com/office/word/2010/wordml" w:rsidP="0FFF692F" w14:paraId="0B724D3E" wp14:textId="2FC537AD">
      <w:pPr>
        <w:pStyle w:val="Normal"/>
        <w:pBdr>
          <w:bottom w:val="single" w:color="1F497D" w:sz="6" w:space="1"/>
        </w:pBdr>
        <w:spacing w:before="160" w:after="40"/>
        <w:pBdr>
          <w:bottom w:val="single" w:color="1F497D" w:sz="6" w:space="1"/>
        </w:pBdr>
      </w:pPr>
      <w:r w:rsidRPr="0FFF692F" w:rsidR="0FFF692F">
        <w:rPr>
          <w:rFonts w:ascii="Calibri" w:hAnsi="Calibri"/>
          <w:b w:val="1"/>
          <w:bCs w:val="1"/>
          <w:caps w:val="1"/>
          <w:color w:val="1F497D" w:themeColor="text2" w:themeTint="FF" w:themeShade="FF"/>
          <w:sz w:val="22"/>
          <w:szCs w:val="22"/>
        </w:rPr>
        <w:t>Technical Skills</w:t>
      </w:r>
    </w:p>
    <w:p xmlns:wp14="http://schemas.microsoft.com/office/word/2010/wordml" w14:paraId="5FD21FFE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Insurance &amp; Regulated Domains:  </w:t>
      </w:r>
      <w:r>
        <w:rPr>
          <w:rFonts w:ascii="Calibri" w:hAnsi="Calibri"/>
          <w:sz w:val="20"/>
        </w:rPr>
        <w:t>IBM Industry Models for Insurance (IBM IAA), ACORD Reference Architecture &amp; Technical Model, ACORD XML Data Standards, Guidewire (P&amp;C policy administration CDM source), NCPDP, X12 EDI, HIPAA, HL7 v2/v3, FHIR, ACA compliance</w:t>
      </w:r>
    </w:p>
    <w:p xmlns:wp14="http://schemas.microsoft.com/office/word/2010/wordml" w14:paraId="2E785E5D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Enterprise Architecture:  </w:t>
      </w:r>
      <w:r>
        <w:rPr>
          <w:rFonts w:ascii="Calibri" w:hAnsi="Calibri"/>
          <w:sz w:val="20"/>
        </w:rPr>
        <w:t>Reference architectures, technology roadmaps, ARB governance, vendor evaluation, fit-gap analysis, technology standards bodies, TOGAF principles</w:t>
      </w:r>
    </w:p>
    <w:p xmlns:wp14="http://schemas.microsoft.com/office/word/2010/wordml" w14:paraId="00D608AF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API &amp; Integration:  </w:t>
      </w:r>
      <w:r>
        <w:rPr>
          <w:rFonts w:ascii="Calibri" w:hAnsi="Calibri"/>
          <w:sz w:val="20"/>
        </w:rPr>
        <w:t>MuleSoft ESB, Tibco BusinessWorks, AWS API Gateway, Apache Airflow, event-driven architecture, pub/sub, CQRS, microservices, distributed systems design</w:t>
      </w:r>
    </w:p>
    <w:p xmlns:wp14="http://schemas.microsoft.com/office/word/2010/wordml" w14:paraId="6DB3D011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Cloud Platforms:  </w:t>
      </w:r>
      <w:r>
        <w:rPr>
          <w:rFonts w:ascii="Calibri" w:hAnsi="Calibri"/>
          <w:sz w:val="20"/>
        </w:rPr>
        <w:t>Azure (Data Factory, Synapse, Event Hub, Data Lake, Purview), AWS (Glue, Lambda, S3, Athena, Redshift, Terraform IaC), GCP</w:t>
      </w:r>
    </w:p>
    <w:p xmlns:wp14="http://schemas.microsoft.com/office/word/2010/wordml" w14:paraId="1A4DF88C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Data Platforms:  </w:t>
      </w:r>
      <w:r>
        <w:rPr>
          <w:rFonts w:ascii="Calibri" w:hAnsi="Calibri"/>
          <w:sz w:val="20"/>
        </w:rPr>
        <w:t>Databricks (Unity Catalog, Delta Lake), Snowflake, Microsoft Fabric, Apache Iceberg, Apache Spark</w:t>
      </w:r>
    </w:p>
    <w:p xmlns:wp14="http://schemas.microsoft.com/office/word/2010/wordml" w14:paraId="35F93E4D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Data Management:  </w:t>
      </w:r>
      <w:r>
        <w:rPr>
          <w:rFonts w:ascii="Calibri" w:hAnsi="Calibri"/>
          <w:sz w:val="20"/>
        </w:rPr>
        <w:t>Collibra DQ, Azure Purview, canonical data models, master data management, golden record design, metadata management, data lineage, data stewardship</w:t>
      </w:r>
    </w:p>
    <w:p xmlns:wp14="http://schemas.microsoft.com/office/word/2010/wordml" w14:paraId="26861F24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Databases:  </w:t>
      </w:r>
      <w:r>
        <w:rPr>
          <w:rFonts w:ascii="Calibri" w:hAnsi="Calibri"/>
          <w:sz w:val="20"/>
        </w:rPr>
        <w:t>SQL Server, Sybase, PostgreSQL, Oracle, DB2, Teradata, DynamoDB, MongoDB, Hadoop, ArangoDB</w:t>
      </w:r>
    </w:p>
    <w:p xmlns:wp14="http://schemas.microsoft.com/office/word/2010/wordml" w14:paraId="63E14F5E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Release &amp; DevOps:  </w:t>
      </w:r>
      <w:r>
        <w:rPr>
          <w:rFonts w:ascii="Calibri" w:hAnsi="Calibri"/>
          <w:sz w:val="20"/>
        </w:rPr>
        <w:t>Terraform IaC, CI/CD pipeline governance, environment management (dev/UAT/prod), change governance documentation, production readiness reviews</w:t>
      </w:r>
    </w:p>
    <w:p xmlns:wp14="http://schemas.microsoft.com/office/word/2010/wordml" w14:paraId="750C147D" wp14:textId="04F73362">
      <w:pPr>
        <w:spacing w:before="20" w:after="40"/>
      </w:pPr>
      <w:r w:rsidRPr="0FFF692F" w:rsidR="0FFF692F">
        <w:rPr>
          <w:rFonts w:ascii="Calibri" w:hAnsi="Calibri"/>
          <w:b w:val="1"/>
          <w:bCs w:val="1"/>
          <w:sz w:val="20"/>
          <w:szCs w:val="20"/>
        </w:rPr>
        <w:t xml:space="preserve">AI &amp; ML:  </w:t>
      </w:r>
      <w:r w:rsidRPr="0FFF692F" w:rsidR="0FFF692F">
        <w:rPr>
          <w:rFonts w:ascii="Calibri" w:hAnsi="Calibri"/>
          <w:sz w:val="20"/>
          <w:szCs w:val="20"/>
        </w:rPr>
        <w:t xml:space="preserve">Agentic AI orchestration, multi-agent systems, RAG pipelines, </w:t>
      </w:r>
      <w:r w:rsidRPr="0FFF692F" w:rsidR="0FFF692F">
        <w:rPr>
          <w:rFonts w:ascii="Calibri" w:hAnsi="Calibri"/>
          <w:sz w:val="20"/>
          <w:szCs w:val="20"/>
        </w:rPr>
        <w:t>LLM data infrastructure, knowledge graphs, vector databases, human-in-the-loop governance</w:t>
      </w:r>
    </w:p>
    <w:p xmlns:wp14="http://schemas.microsoft.com/office/word/2010/wordml" w14:paraId="768FA84C" wp14:textId="77777777">
      <w:pPr>
        <w:spacing w:before="20" w:after="40"/>
      </w:pPr>
      <w:r>
        <w:rPr>
          <w:rFonts w:ascii="Calibri" w:hAnsi="Calibri"/>
          <w:b/>
          <w:sz w:val="20"/>
        </w:rPr>
        <w:t xml:space="preserve">Languages &amp; Tools:  </w:t>
      </w:r>
      <w:r>
        <w:rPr>
          <w:rFonts w:ascii="Calibri" w:hAnsi="Calibri"/>
          <w:sz w:val="20"/>
        </w:rPr>
        <w:t>Python, SQL, Java, Power BI, Tableau, UML</w:t>
      </w:r>
    </w:p>
    <w:p xmlns:wp14="http://schemas.microsoft.com/office/word/2010/wordml" w14:paraId="69680CF8" wp14:textId="77777777">
      <w:pPr>
        <w:spacing w:before="160" w:after="40"/>
        <w:pBdr>
          <w:bottom w:val="single" w:color="1F497D" w:sz="6" w:space="1"/>
        </w:pBdr>
      </w:pPr>
      <w:r>
        <w:rPr>
          <w:rFonts w:ascii="Calibri" w:hAnsi="Calibri"/>
          <w:b/>
          <w:caps/>
          <w:color w:val="1F497D"/>
          <w:sz w:val="22"/>
        </w:rPr>
        <w:t>Additional Information</w:t>
      </w:r>
    </w:p>
    <w:p xmlns:wp14="http://schemas.microsoft.com/office/word/2010/wordml" w14:paraId="204DD8BA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Military:  Merchant Marine Engineering Officer, US Navy Reserve</w:t>
      </w:r>
    </w:p>
    <w:p xmlns:wp14="http://schemas.microsoft.com/office/word/2010/wordml" w14:paraId="166E4A22" wp14:textId="77777777">
      <w:pPr>
        <w:pStyle w:val="ListBullet"/>
        <w:spacing w:before="20" w:after="40"/>
        <w:ind w:left="288"/>
      </w:pPr>
      <w:r>
        <w:rPr>
          <w:rFonts w:ascii="Calibri" w:hAnsi="Calibri"/>
          <w:sz w:val="20"/>
        </w:rPr>
        <w:t>Community:  Volunteer Marine Engineer for MANATRA — 15+ years mentoring 100+ NROTC students in marine engineering on active training vessels</w:t>
      </w:r>
    </w:p>
    <w:sectPr w:rsidRPr="0006063C" w:rsidR="00FC693F" w:rsidSect="00034616">
      <w:pgSz w:w="12240" w:h="15840" w:orient="portrait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A63C0"/>
    <w:rsid w:val="0F0C5251"/>
    <w:rsid w:val="0FFF692F"/>
    <w:rsid w:val="2E16E18D"/>
    <w:rsid w:val="2E16E18D"/>
    <w:rsid w:val="34F01111"/>
    <w:rsid w:val="54AC3DB1"/>
    <w:rsid w:val="5BC12646"/>
    <w:rsid w:val="5BC12646"/>
    <w:rsid w:val="7E1D7530"/>
    <w:rsid w:val="7FC8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B504F16-8EDB-4DA8-A468-EA826C77E2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Vogt</lastModifiedBy>
  <revision>2</revision>
  <dcterms:created xsi:type="dcterms:W3CDTF">2013-12-23T23:15:00.0000000Z</dcterms:created>
  <dcterms:modified xsi:type="dcterms:W3CDTF">2026-04-30T12:57:04.2215836Z</dcterms:modified>
  <category/>
</coreProperties>
</file>