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4F8A90D4" wp14:textId="77777777">
      <w:pPr>
        <w:pStyle w:val="Normal"/>
        <w:spacing w:before="0" w:after="40" w:line="320" w:lineRule="exact"/>
        <w:jc w:val="center"/>
        <w:rPr/>
      </w:pPr>
      <w:r>
        <w:rPr>
          <w:rFonts w:ascii="Calibri" w:hAnsi="Calibri"/>
          <w:b/>
          <w:sz w:val="32"/>
        </w:rPr>
        <w:t>MICHAEL VOGT</w:t>
      </w:r>
    </w:p>
    <w:p xmlns:wp14="http://schemas.microsoft.com/office/word/2010/wordml" w14:paraId="7036735A" wp14:textId="77777777">
      <w:pPr>
        <w:pStyle w:val="Normal"/>
        <w:spacing w:before="0" w:after="80" w:line="260" w:lineRule="exact"/>
        <w:jc w:val="center"/>
        <w:rPr/>
      </w:pPr>
      <w:r>
        <w:rPr>
          <w:rFonts w:ascii="Calibri" w:hAnsi="Calibri"/>
          <w:b w:val="false"/>
          <w:i w:val="false"/>
          <w:sz w:val="20"/>
        </w:rPr>
        <w:t>Sugar Grove, IL 60554  |  312-772-4762  |  mvogt99@gmail.com  |  linkedin.com/in/mike-vogt-analytics</w:t>
      </w:r>
    </w:p>
    <w:p xmlns:wp14="http://schemas.microsoft.com/office/word/2010/wordml" w14:paraId="07DAC14A" wp14:textId="77777777">
      <w:pPr>
        <w:pStyle w:val="Normal"/>
        <w:keepNext w:val="true"/>
        <w:pBdr>
          <w:bottom w:val="single" w:color="000000" w:sz="6" w:space="1"/>
        </w:pBdr>
        <w:spacing w:before="120" w:after="20" w:line="260" w:lineRule="exact"/>
        <w:jc w:val="start"/>
        <w:rPr/>
      </w:pPr>
      <w:r>
        <w:rPr>
          <w:rFonts w:ascii="Calibri" w:hAnsi="Calibri"/>
          <w:b/>
          <w:color w:val="000000"/>
          <w:sz w:val="22"/>
        </w:rPr>
        <w:t>PROFESSIONAL SUMMARY</w:t>
      </w:r>
    </w:p>
    <w:p xmlns:wp14="http://schemas.microsoft.com/office/word/2010/wordml" w14:paraId="6DB17903" wp14:textId="77777777">
      <w:pPr>
        <w:pStyle w:val="Normal"/>
        <w:spacing w:before="0" w:after="6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Healthcare technology consulting leader with 20+ years delivering data platform, EHR integration, and analytics solutions for provider and payer organizations across Illinois and nationally. Co-led design and implementation of Meaningful Use EHR reporting products for Advocate Health Care and Southern Illinois Healthcare (Meditech, HL7/FHIR); designed provider network data models for AIM Specialty Health (now Elevance); and architected data and AI platforms for PBM, specialty life sciences, and provider organizations at AHEAD, PwC, and SPR Consulting.</w:t>
      </w:r>
    </w:p>
    <w:p xmlns:wp14="http://schemas.microsoft.com/office/word/2010/wordml" w14:paraId="37984401" wp14:textId="77777777">
      <w:pPr>
        <w:pStyle w:val="Normal"/>
        <w:spacing w:before="0" w:after="6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Practice builder with full P&amp;L ownership — grew three consulting practices from zero ($4.5M at SPR, $3M at NVISIA, $2M at PSC). Active co-seller alongside business development executives, contributing to healthcare client pipeline development through technical leadership, proposal writing, and client relationships. Leads multi-stakeholder healthcare engagements — translating complex data and technology requirements into executable architectures for clinical, operational, and payer audiences from the bedside to the boardroom.</w:t>
      </w:r>
    </w:p>
    <w:p xmlns:wp14="http://schemas.microsoft.com/office/word/2010/wordml" w14:paraId="000DB10E" wp14:textId="77777777">
      <w:pPr>
        <w:pStyle w:val="Normal"/>
        <w:spacing w:before="0" w:after="8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Currently building AI-enabled healthcare data platforms at AHEAD — autonomous data governance agents, agentic ingestion orchestration, and HIPAA-compliant AI workflows applied to PBM and specialty healthcare environments. Brings a governance-first approach to AI in healthcare: ensuring data quality, auditability, and regulatory compliance before clinical or operational AI outputs reach production.</w:t>
      </w:r>
    </w:p>
    <w:p xmlns:wp14="http://schemas.microsoft.com/office/word/2010/wordml" w14:paraId="38BE18C1" wp14:textId="77777777">
      <w:pPr>
        <w:pStyle w:val="Normal"/>
        <w:keepNext w:val="true"/>
        <w:pBdr>
          <w:bottom w:val="single" w:color="000000" w:sz="6" w:space="1"/>
        </w:pBdr>
        <w:spacing w:before="120" w:after="20" w:line="260" w:lineRule="exact"/>
        <w:jc w:val="start"/>
        <w:rPr/>
      </w:pPr>
      <w:r w:rsidRPr="05CE49AA" w:rsidR="05CE49AA">
        <w:rPr>
          <w:rFonts w:ascii="Calibri" w:hAnsi="Calibri"/>
          <w:b w:val="1"/>
          <w:bCs w:val="1"/>
          <w:color w:val="000000" w:themeColor="text1" w:themeTint="FF" w:themeShade="FF"/>
          <w:sz w:val="22"/>
          <w:szCs w:val="22"/>
        </w:rPr>
        <w:t>CORE COMPETENCIES</w:t>
      </w:r>
    </w:p>
    <w:tbl>
      <w:tblPr>
        <w:tblStyle w:val="TableGrid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00" w:firstRow="0" w:lastRow="0" w:firstColumn="0" w:lastColumn="0" w:noHBand="0" w:noVBand="1"/>
      </w:tblPr>
      <w:tblGrid>
        <w:gridCol w:w="3405"/>
        <w:gridCol w:w="3405"/>
        <w:gridCol w:w="3405"/>
      </w:tblGrid>
      <w:tr w:rsidR="05CE49AA" w:rsidTr="05CE49AA" w14:paraId="7E775D9A">
        <w:trPr>
          <w:trHeight w:val="300"/>
        </w:trPr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1D2A5CFC" w14:textId="4AA66523">
            <w:r w:rsidRPr="05CE49AA" w:rsidR="05CE49AA">
              <w:rPr>
                <w:b w:val="0"/>
                <w:bCs w:val="0"/>
                <w:sz w:val="22"/>
                <w:szCs w:val="22"/>
              </w:rPr>
              <w:t>Healthcare Provider &amp; Payer Technology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16C7C4D9" w14:textId="06082A84">
            <w:r w:rsidRPr="05CE49AA" w:rsidR="05CE49AA">
              <w:rPr>
                <w:b w:val="0"/>
                <w:bCs w:val="0"/>
                <w:sz w:val="22"/>
                <w:szCs w:val="22"/>
              </w:rPr>
              <w:t>Practice Building &amp; P&amp;L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38F43504" w14:textId="2BA60F87">
            <w:r w:rsidRPr="05CE49AA" w:rsidR="05CE49AA">
              <w:rPr>
                <w:b w:val="0"/>
                <w:bCs w:val="0"/>
                <w:sz w:val="22"/>
                <w:szCs w:val="22"/>
              </w:rPr>
              <w:t>Business Development &amp; Sales Support</w:t>
            </w:r>
          </w:p>
        </w:tc>
      </w:tr>
      <w:tr w:rsidR="05CE49AA" w:rsidTr="05CE49AA" w14:paraId="617576C8">
        <w:trPr>
          <w:trHeight w:val="300"/>
        </w:trPr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7CDBB044" w14:textId="3C9CC99B">
            <w:r w:rsidRPr="05CE49AA" w:rsidR="05CE49AA">
              <w:rPr>
                <w:b w:val="0"/>
                <w:bCs w:val="0"/>
                <w:sz w:val="22"/>
                <w:szCs w:val="22"/>
              </w:rPr>
              <w:t>HL7 / FHIR / Meaningful Use / CMS Reporting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069D64E3" w14:textId="0A0252A0">
            <w:r w:rsidRPr="05CE49AA" w:rsidR="05CE49AA">
              <w:rPr>
                <w:b w:val="0"/>
                <w:bCs w:val="0"/>
                <w:sz w:val="22"/>
                <w:szCs w:val="22"/>
              </w:rPr>
              <w:t>EHR Integration (Meditech)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57CFEDE0" w14:textId="62107230">
            <w:r w:rsidRPr="05CE49AA" w:rsidR="05CE49AA">
              <w:rPr>
                <w:b w:val="0"/>
                <w:bCs w:val="0"/>
                <w:sz w:val="22"/>
                <w:szCs w:val="22"/>
              </w:rPr>
              <w:t>Provider Network &amp; Authorization Data Models</w:t>
            </w:r>
          </w:p>
        </w:tc>
      </w:tr>
      <w:tr w:rsidR="05CE49AA" w:rsidTr="05CE49AA" w14:paraId="7AE04630">
        <w:trPr>
          <w:trHeight w:val="300"/>
        </w:trPr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2457600E" w14:textId="7263CDB4">
            <w:r w:rsidRPr="05CE49AA" w:rsidR="05CE49AA">
              <w:rPr>
                <w:b w:val="0"/>
                <w:bCs w:val="0"/>
                <w:sz w:val="22"/>
                <w:szCs w:val="22"/>
              </w:rPr>
              <w:t>HIPAA / NCPDP / X12 EDI / ACA Compliance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09272551" w14:textId="1A4B2F18">
            <w:r w:rsidRPr="05CE49AA" w:rsidR="05CE49AA">
              <w:rPr>
                <w:b w:val="0"/>
                <w:bCs w:val="0"/>
                <w:sz w:val="22"/>
                <w:szCs w:val="22"/>
              </w:rPr>
              <w:t>Data Governance &amp; Quality Frameworks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5D07F483" w14:textId="02ECEA50">
            <w:r w:rsidRPr="05CE49AA" w:rsidR="05CE49AA">
              <w:rPr>
                <w:b w:val="0"/>
                <w:bCs w:val="0"/>
                <w:sz w:val="22"/>
                <w:szCs w:val="22"/>
              </w:rPr>
              <w:t>Cloud-Native Architecture (AWS / Azure / GCP)</w:t>
            </w:r>
          </w:p>
        </w:tc>
      </w:tr>
      <w:tr w:rsidR="05CE49AA" w:rsidTr="05CE49AA" w14:paraId="017A8FB7">
        <w:trPr>
          <w:trHeight w:val="300"/>
        </w:trPr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1874D07B" w14:textId="322CDAF4">
            <w:r w:rsidRPr="05CE49AA" w:rsidR="05CE49AA">
              <w:rPr>
                <w:b w:val="0"/>
                <w:bCs w:val="0"/>
                <w:sz w:val="22"/>
                <w:szCs w:val="22"/>
              </w:rPr>
              <w:t>Agentic AI &amp; Healthcare Automation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5D10AD9D" w14:textId="52271FA8">
            <w:r w:rsidRPr="05CE49AA" w:rsidR="05CE49AA">
              <w:rPr>
                <w:b w:val="0"/>
                <w:bCs w:val="0"/>
                <w:sz w:val="22"/>
                <w:szCs w:val="22"/>
              </w:rPr>
              <w:t>Canonical Data Models &amp; Data Products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59D6BBC1" w14:textId="19E73247">
            <w:r w:rsidRPr="05CE49AA" w:rsidR="05CE49AA">
              <w:rPr>
                <w:b w:val="0"/>
                <w:bCs w:val="0"/>
                <w:sz w:val="22"/>
                <w:szCs w:val="22"/>
              </w:rPr>
              <w:t>Stakeholder &amp; Executive Communication</w:t>
            </w:r>
          </w:p>
        </w:tc>
      </w:tr>
    </w:tbl>
    <w:p w:rsidR="05CE49AA" w:rsidRDefault="05CE49AA" w14:paraId="663CD668" w14:textId="5B675EC3"/>
    <w:p xmlns:wp14="http://schemas.microsoft.com/office/word/2010/wordml" w14:paraId="168A1AEF" wp14:textId="77777777">
      <w:pPr>
        <w:pStyle w:val="Normal"/>
        <w:keepNext w:val="true"/>
        <w:pBdr>
          <w:bottom w:val="single" w:color="000000" w:sz="6" w:space="1"/>
        </w:pBdr>
        <w:spacing w:before="120" w:after="20" w:line="260" w:lineRule="exact"/>
        <w:jc w:val="start"/>
        <w:rPr/>
      </w:pPr>
      <w:r>
        <w:rPr>
          <w:rFonts w:ascii="Calibri" w:hAnsi="Calibri"/>
          <w:b/>
          <w:color w:val="000000"/>
          <w:sz w:val="22"/>
        </w:rPr>
        <w:t>PROFESSIONAL EXPERIENCE</w:t>
      </w:r>
    </w:p>
    <w:p xmlns:wp14="http://schemas.microsoft.com/office/word/2010/wordml" w14:paraId="7CE82FF5" wp14:textId="77777777">
      <w:pPr>
        <w:pStyle w:val="Normal"/>
        <w:keepNext w:val="true"/>
        <w:spacing w:before="100" w:after="0" w:line="260" w:lineRule="exact"/>
        <w:jc w:val="start"/>
        <w:rPr/>
      </w:pPr>
      <w:r>
        <w:rPr>
          <w:rFonts w:ascii="Calibri" w:hAnsi="Calibri"/>
          <w:b/>
          <w:sz w:val="21"/>
        </w:rPr>
        <w:t>AHEAD</w:t>
      </w:r>
      <w:r>
        <w:rPr>
          <w:rFonts w:ascii="Calibri" w:hAnsi="Calibri"/>
          <w:b w:val="false"/>
          <w:sz w:val="21"/>
        </w:rPr>
        <w:t xml:space="preserve">  |  Chicago, IL  |  2023 – Present</w:t>
      </w:r>
    </w:p>
    <w:p xmlns:wp14="http://schemas.microsoft.com/office/word/2010/wordml" w14:paraId="71146B17" wp14:textId="77777777">
      <w:pPr>
        <w:pStyle w:val="Normal"/>
        <w:keepNext w:val="true"/>
        <w:spacing w:before="0" w:after="40" w:line="260" w:lineRule="exact"/>
        <w:rPr/>
      </w:pPr>
      <w:r>
        <w:rPr>
          <w:rFonts w:ascii="Calibri" w:hAnsi="Calibri"/>
          <w:i/>
          <w:sz w:val="21"/>
        </w:rPr>
        <w:t>Principal Technical Consultant</w:t>
      </w:r>
    </w:p>
    <w:p xmlns:wp14="http://schemas.microsoft.com/office/word/2010/wordml" w14:paraId="05A24901" wp14:textId="77777777">
      <w:pPr>
        <w:pStyle w:val="Normal"/>
        <w:spacing w:before="0" w:after="4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Lead data architect and healthcare consulting advisor. Designs cloud-native data and AI platforms for PBM, specialty life sciences, and provider organizations — from architecture through production delivery. Active in pre-sales and account expansion discussions as technical subject matter expert.</w:t>
      </w:r>
    </w:p>
    <w:p xmlns:wp14="http://schemas.microsoft.com/office/word/2010/wordml" w14:paraId="61D1118A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 xml:space="preserve">Architected </w:t>
      </w:r>
      <w:r>
        <w:rPr>
          <w:rFonts w:ascii="Calibri" w:hAnsi="Calibri"/>
          <w:sz w:val="21"/>
        </w:rPr>
        <w:t xml:space="preserve">cloud </w:t>
      </w:r>
      <w:r>
        <w:rPr>
          <w:rFonts w:ascii="Calibri" w:hAnsi="Calibri"/>
          <w:sz w:val="21"/>
        </w:rPr>
        <w:t xml:space="preserve">data platform on AWS for </w:t>
      </w:r>
      <w:r>
        <w:rPr>
          <w:rFonts w:ascii="Calibri" w:hAnsi="Calibri"/>
          <w:sz w:val="21"/>
        </w:rPr>
        <w:t>leading PBM</w:t>
      </w:r>
      <w:r>
        <w:rPr>
          <w:rFonts w:ascii="Calibri" w:hAnsi="Calibri"/>
          <w:sz w:val="21"/>
        </w:rPr>
        <w:t>— canonical data models for claims processing, eligibility verification, and pharmacy benefit management across NCPDP and ANSI X12 EDI standards; designed HL7/FHIR integration points in CDM for regulatory reporting and interoperability; HIPAA-compliant data governance throughout the data lifecycle across 20+ source systems</w:t>
      </w:r>
    </w:p>
    <w:p xmlns:wp14="http://schemas.microsoft.com/office/word/2010/wordml" w14:paraId="2232EA35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 xml:space="preserve">Designed data platform for specialty life sciences healthcare client — donor management, donation center operations, and center performance metrics; architected production Databricks environment (Unity Catalog, Delta Lake) for a 20-person delivery team serving </w:t>
      </w:r>
      <w:r>
        <w:rPr>
          <w:rFonts w:ascii="Calibri" w:hAnsi="Calibri"/>
          <w:sz w:val="21"/>
        </w:rPr>
        <w:t xml:space="preserve">its nationwide network of donation </w:t>
      </w:r>
      <w:r>
        <w:rPr>
          <w:rFonts w:ascii="Calibri" w:hAnsi="Calibri"/>
          <w:sz w:val="21"/>
        </w:rPr>
        <w:t>centers; established data modeling standards and integration patterns from inception to production in a regulated clinical operations environment</w:t>
      </w:r>
    </w:p>
    <w:p xmlns:wp14="http://schemas.microsoft.com/office/word/2010/wordml" w14:paraId="7853D18C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>Delivered configuration-driven, DSL-based ingestion framework reducing healthcare data source onboarding from 8 weeks to under 1 week — enabling rapid integration of new clinical and operational source systems without custom ETL development for each onboarding</w:t>
      </w:r>
    </w:p>
    <w:p xmlns:wp14="http://schemas.microsoft.com/office/word/2010/wordml" w14:paraId="37A357BB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>Architected agentic AI governance layer for healthcare data platform — autonomous Data Steward and Developer AI agents coordinating over event-driven service bus to automate cataloging, lineage validation, and self-healing pipeline remediation; human-in-the-loop review gates for HIPAA-sensitive data classifications before production promotion</w:t>
      </w:r>
    </w:p>
    <w:p xmlns:wp14="http://schemas.microsoft.com/office/word/2010/wordml" w14:paraId="4D024571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>Coached 25 data engineering team members across two healthcare client teams through progressive ownership model — embedding HIPAA-aware data governance discipline and design-thinking frameworks enabling independent platform extension post-engagement</w:t>
      </w:r>
    </w:p>
    <w:p xmlns:wp14="http://schemas.microsoft.com/office/word/2010/wordml" w14:paraId="533333B4" wp14:textId="77777777">
      <w:pPr>
        <w:pStyle w:val="Normal"/>
        <w:keepNext w:val="true"/>
        <w:spacing w:before="100" w:after="0" w:line="260" w:lineRule="exact"/>
        <w:jc w:val="start"/>
        <w:rPr/>
      </w:pPr>
      <w:r>
        <w:rPr>
          <w:rFonts w:ascii="Calibri" w:hAnsi="Calibri"/>
          <w:b/>
          <w:sz w:val="21"/>
        </w:rPr>
        <w:t>PRICEWATERHOUSECOOPERS (PwC)</w:t>
      </w:r>
      <w:r>
        <w:rPr>
          <w:rFonts w:ascii="Calibri" w:hAnsi="Calibri"/>
          <w:b w:val="false"/>
          <w:sz w:val="21"/>
        </w:rPr>
        <w:t xml:space="preserve">  |  Chicago, IL  |  2020 – 2023</w:t>
      </w:r>
    </w:p>
    <w:p xmlns:wp14="http://schemas.microsoft.com/office/word/2010/wordml" w14:paraId="26DF2B74" wp14:textId="77777777">
      <w:pPr>
        <w:pStyle w:val="Normal"/>
        <w:keepNext w:val="true"/>
        <w:spacing w:before="0" w:after="40" w:line="260" w:lineRule="exact"/>
        <w:rPr/>
      </w:pPr>
      <w:r>
        <w:rPr>
          <w:rFonts w:ascii="Calibri" w:hAnsi="Calibri"/>
          <w:i/>
          <w:sz w:val="21"/>
        </w:rPr>
        <w:t>Director, Advisory, Data Architecture</w:t>
      </w:r>
    </w:p>
    <w:p xmlns:wp14="http://schemas.microsoft.com/office/word/2010/wordml" w14:paraId="16824A41" wp14:textId="77777777">
      <w:pPr>
        <w:pStyle w:val="Normal"/>
        <w:spacing w:before="0" w:after="4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Chief architect directing Data as a Product capability across healthcare, consumer markets, and supply chain. Led 50+ person distributed team with $5M+ budget responsibility.</w:t>
      </w:r>
    </w:p>
    <w:p xmlns:wp14="http://schemas.microsoft.com/office/word/2010/wordml" w14:paraId="06DF3DF5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>Productized hyperscaler-agnostic data platform across Azure, AWS, and GCP serving healthcare and enterprise clients — shared DSL configurations, canonical data models, and source-to-target mappings from SAP HANA, Oracle Fusion, Salesforce, and Informatica into governed, domain-based data products; established DataOps capability with expectation-based validation in platform pipelines</w:t>
      </w:r>
    </w:p>
    <w:p xmlns:wp14="http://schemas.microsoft.com/office/word/2010/wordml" w14:paraId="7E68E51E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>Established data governance standards, quality frameworks, and scalability patterns adopted across multiple client engagements — translated CDM concepts and compliance requirements into executive frameworks securing C-suite buy-in and partner-level alignment firm-wide</w:t>
      </w:r>
    </w:p>
    <w:p xmlns:wp14="http://schemas.microsoft.com/office/word/2010/wordml" w14:paraId="40C5A41E" wp14:textId="77777777">
      <w:pPr>
        <w:pStyle w:val="Normal"/>
        <w:keepNext w:val="true"/>
        <w:spacing w:before="100" w:after="0" w:line="260" w:lineRule="exact"/>
        <w:jc w:val="start"/>
        <w:rPr/>
      </w:pPr>
      <w:r>
        <w:rPr>
          <w:rFonts w:ascii="Calibri" w:hAnsi="Calibri"/>
          <w:b/>
          <w:sz w:val="21"/>
        </w:rPr>
        <w:t>SPR CONSULTING</w:t>
      </w:r>
      <w:r>
        <w:rPr>
          <w:rFonts w:ascii="Calibri" w:hAnsi="Calibri"/>
          <w:b w:val="false"/>
          <w:sz w:val="21"/>
        </w:rPr>
        <w:t xml:space="preserve">  |  Chicago, IL  |  2018 – 2020</w:t>
      </w:r>
    </w:p>
    <w:p xmlns:wp14="http://schemas.microsoft.com/office/word/2010/wordml" w14:paraId="273F6C10" wp14:textId="77777777">
      <w:pPr>
        <w:pStyle w:val="Normal"/>
        <w:keepNext w:val="true"/>
        <w:spacing w:before="0" w:after="40" w:line="260" w:lineRule="exact"/>
        <w:rPr/>
      </w:pPr>
      <w:r>
        <w:rPr>
          <w:rFonts w:ascii="Calibri" w:hAnsi="Calibri"/>
          <w:i/>
          <w:sz w:val="21"/>
        </w:rPr>
        <w:t>Executive Director, Data, Analytics and Machine Learning</w:t>
      </w:r>
    </w:p>
    <w:p xmlns:wp14="http://schemas.microsoft.com/office/word/2010/wordml" w14:paraId="12F92E84" wp14:textId="77777777">
      <w:pPr>
        <w:pStyle w:val="Normal"/>
        <w:spacing w:before="0" w:after="4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Practice owner with full P&amp;L responsibility. Sold and delivered analytics, BI, AI, and cloud data platform services across healthcare and technology clients on Azure and AWS.</w:t>
      </w:r>
    </w:p>
    <w:p xmlns:wp14="http://schemas.microsoft.com/office/word/2010/wordml" w14:paraId="7026DBD1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>Built data and analytics practice from zero to $4.5M revenue in under 3 years — delivered first event-driven cloud data platforms on Azure and AWS; developed Cloud Data Platform Accelerator reducing client startup costs 40%</w:t>
      </w:r>
    </w:p>
    <w:p xmlns:wp14="http://schemas.microsoft.com/office/word/2010/wordml" w14:paraId="0B80AB66" wp14:textId="77777777">
      <w:pPr>
        <w:pStyle w:val="Normal"/>
        <w:keepNext w:val="true"/>
        <w:spacing w:before="100" w:after="0" w:line="260" w:lineRule="exact"/>
        <w:jc w:val="start"/>
        <w:rPr/>
      </w:pPr>
      <w:r>
        <w:rPr>
          <w:rFonts w:ascii="Calibri" w:hAnsi="Calibri"/>
          <w:b/>
          <w:sz w:val="21"/>
        </w:rPr>
        <w:t>CAPGEMINI (SOGETI)</w:t>
      </w:r>
      <w:r>
        <w:rPr>
          <w:rFonts w:ascii="Calibri" w:hAnsi="Calibri"/>
          <w:b w:val="false"/>
          <w:sz w:val="21"/>
        </w:rPr>
        <w:t xml:space="preserve">  |  Westchester, IL  |  2017 – 2018</w:t>
      </w:r>
    </w:p>
    <w:p xmlns:wp14="http://schemas.microsoft.com/office/word/2010/wordml" w14:paraId="3F5C0AEC" wp14:textId="77777777">
      <w:pPr>
        <w:pStyle w:val="Normal"/>
        <w:keepNext w:val="true"/>
        <w:spacing w:before="0" w:after="40" w:line="260" w:lineRule="exact"/>
        <w:rPr>
          <w:rFonts w:ascii="Calibri" w:hAnsi="Calibri"/>
          <w:i/>
          <w:sz w:val="21"/>
        </w:rPr>
      </w:pPr>
      <w:r>
        <w:rPr>
          <w:rFonts w:ascii="Calibri" w:hAnsi="Calibri"/>
          <w:i/>
          <w:sz w:val="21"/>
        </w:rPr>
        <w:t>Senior Manager</w:t>
      </w:r>
    </w:p>
    <w:p xmlns:wp14="http://schemas.microsoft.com/office/word/2010/wordml" w14:paraId="65BB5F92" wp14:textId="77777777">
      <w:pPr>
        <w:pStyle w:val="Normal"/>
        <w:spacing w:before="0" w:after="40" w:line="260" w:lineRule="exact"/>
        <w:rPr>
          <w:rFonts w:ascii="Calibri" w:hAnsi="Calibri"/>
          <w:i/>
          <w:sz w:val="21"/>
        </w:rPr>
      </w:pPr>
      <w:r>
        <w:rPr>
          <w:rFonts w:ascii="Calibri" w:hAnsi="Calibri"/>
          <w:b w:val="false"/>
          <w:i w:val="false"/>
          <w:sz w:val="21"/>
        </w:rPr>
        <w:t>Designed and led development of Azure Data Platform and migration of data and rules from a proprietary on-premise data platform for a national beverage distribution client.</w:t>
      </w:r>
    </w:p>
    <w:p xmlns:wp14="http://schemas.microsoft.com/office/word/2010/wordml" w14:paraId="437994F0" wp14:textId="77777777">
      <w:pPr>
        <w:pStyle w:val="Normal"/>
        <w:keepNext w:val="true"/>
        <w:spacing w:before="100" w:after="0" w:line="260" w:lineRule="exact"/>
        <w:jc w:val="start"/>
        <w:rPr/>
      </w:pPr>
      <w:r>
        <w:rPr>
          <w:rFonts w:ascii="Calibri" w:hAnsi="Calibri"/>
          <w:b/>
          <w:sz w:val="21"/>
        </w:rPr>
        <w:t>NVISIA</w:t>
      </w:r>
      <w:r>
        <w:rPr>
          <w:rFonts w:ascii="Calibri" w:hAnsi="Calibri"/>
          <w:b w:val="false"/>
          <w:sz w:val="21"/>
        </w:rPr>
        <w:t xml:space="preserve">  |  Chicago, IL  |  2012 – 2017</w:t>
      </w:r>
    </w:p>
    <w:p xmlns:wp14="http://schemas.microsoft.com/office/word/2010/wordml" w14:paraId="26522868" wp14:textId="77777777">
      <w:pPr>
        <w:pStyle w:val="Normal"/>
        <w:keepNext w:val="true"/>
        <w:spacing w:before="0" w:after="40" w:line="260" w:lineRule="exact"/>
        <w:rPr/>
      </w:pPr>
      <w:r>
        <w:rPr>
          <w:rFonts w:ascii="Calibri" w:hAnsi="Calibri"/>
          <w:i/>
          <w:sz w:val="21"/>
        </w:rPr>
        <w:t>Director, Data Architecture Management (2015–2017) / Director (2012–2015)</w:t>
      </w:r>
    </w:p>
    <w:p xmlns:wp14="http://schemas.microsoft.com/office/word/2010/wordml" w14:paraId="5291716A" wp14:textId="77777777">
      <w:pPr>
        <w:pStyle w:val="Normal"/>
        <w:spacing w:before="0" w:after="4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Founded and led NVISIA's first Data Practice; full P&amp;L ownership across healthcare, financial services, and manufacturing. Co-sold with business development executives as primary healthcare technology SME — contributed to new client acquisition and account expansion across Illinois healthcare market.</w:t>
      </w:r>
    </w:p>
    <w:p xmlns:wp14="http://schemas.microsoft.com/office/word/2010/wordml" w14:paraId="14A2D6CE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>Co-led design and implementation of NVISIA's Meaningful Use Reporting product — sold to and deployed at Advocate Health Care and Southern Illinois Healthcare; integrated with Meditech EHR via HL7 message interface design and direct database extraction; engineered HL7/FHIR-compliant CMS reporting workflows; both clients successfully attested for Stage 1 and Stage 2 Meaningful Use compliance</w:t>
      </w:r>
    </w:p>
    <w:p xmlns:wp14="http://schemas.microsoft.com/office/word/2010/wordml" w14:paraId="46232796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 xml:space="preserve">Designed provider and provider network data model for </w:t>
      </w:r>
      <w:r>
        <w:rPr>
          <w:rFonts w:ascii="Calibri" w:hAnsi="Calibri"/>
          <w:sz w:val="21"/>
        </w:rPr>
        <w:t xml:space="preserve">top 3 payor </w:t>
      </w:r>
      <w:r>
        <w:rPr>
          <w:rFonts w:ascii="Calibri" w:hAnsi="Calibri"/>
          <w:sz w:val="21"/>
        </w:rPr>
        <w:t>— supporting network management and authorization workflows across membership and provider domains as part of enterprise Data Management capability buildout; modeled provider credentialing, specialty referral authorization, and payer-provider relationship data; facilitated executive discovery workshops to align business goals across membership and provider domains</w:t>
      </w:r>
    </w:p>
    <w:p xmlns:wp14="http://schemas.microsoft.com/office/word/2010/wordml" w14:paraId="31A11ADD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 xml:space="preserve">Led data architecture for </w:t>
      </w:r>
      <w:r>
        <w:rPr>
          <w:rFonts w:ascii="Calibri" w:hAnsi="Calibri"/>
          <w:sz w:val="21"/>
        </w:rPr>
        <w:t xml:space="preserve">top 5 </w:t>
      </w:r>
      <w:r>
        <w:rPr>
          <w:rFonts w:ascii="Calibri" w:hAnsi="Calibri"/>
          <w:sz w:val="21"/>
        </w:rPr>
        <w:t>healthcare payor's ACA risk assessment system — replaced legacy underwriting platform for retail health clients; implemented clinical data governance and quality frameworks ensuring trusted claims and clinical data for federal ACA risk corridor reporting and compliance</w:t>
      </w:r>
    </w:p>
    <w:p xmlns:wp14="http://schemas.microsoft.com/office/word/2010/wordml" w:rsidP="05CE49AA" w14:paraId="2187EB48" wp14:textId="77777777">
      <w:pPr>
        <w:pStyle w:val="ListBullet"/>
        <w:spacing w:before="20" w:after="40" w:line="260" w:lineRule="exact"/>
        <w:ind w:start="259" w:hanging="360"/>
        <w:contextualSpacing/>
        <w:jc w:val="start"/>
        <w:rPr/>
      </w:pPr>
      <w:r w:rsidRPr="05CE49AA" w:rsidR="05CE49AA">
        <w:rPr>
          <w:rFonts w:ascii="Calibri" w:hAnsi="Calibri"/>
          <w:sz w:val="21"/>
          <w:szCs w:val="21"/>
        </w:rPr>
        <w:t>Established Data/Analytics practice and first ML service offering from zero to $3M with 40% profit margin; developed all marketing collateral, service catalog, and sales strategies; grew healthcare data management, cloud engineering, and analytics capabilities</w:t>
      </w:r>
    </w:p>
    <w:p w:rsidR="05CE49AA" w:rsidP="05CE49AA" w:rsidRDefault="05CE49AA" w14:paraId="2C6DF31D" w14:textId="68550D56">
      <w:pPr>
        <w:pStyle w:val="Normal"/>
        <w:keepNext w:val="0"/>
        <w:spacing w:before="100" w:after="0" w:line="260" w:lineRule="exact"/>
        <w:rPr>
          <w:rFonts w:ascii="Calibri" w:hAnsi="Calibri"/>
          <w:b w:val="1"/>
          <w:bCs w:val="1"/>
          <w:sz w:val="21"/>
          <w:szCs w:val="21"/>
        </w:rPr>
      </w:pPr>
    </w:p>
    <w:p xmlns:wp14="http://schemas.microsoft.com/office/word/2010/wordml" w14:paraId="7329E65B" wp14:textId="77777777">
      <w:pPr>
        <w:pStyle w:val="Normal"/>
        <w:keepNext w:val="true"/>
        <w:spacing w:before="100" w:after="0" w:line="260" w:lineRule="exact"/>
        <w:jc w:val="start"/>
        <w:rPr/>
      </w:pPr>
      <w:r>
        <w:rPr>
          <w:rFonts w:ascii="Calibri" w:hAnsi="Calibri"/>
          <w:b/>
          <w:sz w:val="21"/>
        </w:rPr>
        <w:t>PSC GROUP</w:t>
      </w:r>
      <w:r>
        <w:rPr>
          <w:rFonts w:ascii="Calibri" w:hAnsi="Calibri"/>
          <w:b w:val="false"/>
          <w:sz w:val="21"/>
        </w:rPr>
        <w:t xml:space="preserve">  |  Schaumburg, IL  |  2005 – 2012</w:t>
      </w:r>
    </w:p>
    <w:p xmlns:wp14="http://schemas.microsoft.com/office/word/2010/wordml" w14:paraId="0FD9271B" wp14:textId="77777777">
      <w:pPr>
        <w:pStyle w:val="Normal"/>
        <w:keepNext w:val="true"/>
        <w:spacing w:before="0" w:after="40" w:line="260" w:lineRule="exact"/>
        <w:rPr/>
      </w:pPr>
      <w:r>
        <w:rPr>
          <w:rFonts w:ascii="Calibri" w:hAnsi="Calibri"/>
          <w:i/>
          <w:sz w:val="21"/>
        </w:rPr>
        <w:t>Vice President, Senior Enterprise Architect</w:t>
      </w:r>
    </w:p>
    <w:p xmlns:wp14="http://schemas.microsoft.com/office/word/2010/wordml" w14:paraId="5760683B" wp14:textId="77777777">
      <w:pPr>
        <w:pStyle w:val="ListBullet"/>
        <w:numPr>
          <w:ilvl w:val="0"/>
          <w:numId w:val="1"/>
        </w:numPr>
        <w:spacing w:before="20" w:after="40" w:line="260" w:lineRule="exact"/>
        <w:ind w:start="259" w:hanging="360"/>
        <w:contextualSpacing/>
        <w:jc w:val="start"/>
        <w:rPr/>
      </w:pPr>
      <w:r>
        <w:rPr>
          <w:rFonts w:ascii="Calibri" w:hAnsi="Calibri"/>
          <w:sz w:val="21"/>
        </w:rPr>
        <w:t>Directed 4-year enterprise data management engagement at Global Futures Clearing Merchant — built canonical data models for financial instruments and contracts; millions of transactions per 2-hour windows at 15-minute latency targets (10% of practice revenue)</w:t>
      </w:r>
    </w:p>
    <w:p xmlns:wp14="http://schemas.microsoft.com/office/word/2010/wordml" w14:paraId="10EEAA6D" wp14:textId="77777777">
      <w:pPr>
        <w:pStyle w:val="Normal"/>
        <w:spacing w:before="80" w:after="80" w:line="260" w:lineRule="exact"/>
        <w:jc w:val="start"/>
        <w:rPr/>
      </w:pPr>
      <w:r>
        <w:rPr>
          <w:rFonts w:ascii="Calibri" w:hAnsi="Calibri"/>
          <w:b w:val="false"/>
          <w:i w:val="false"/>
          <w:sz w:val="20"/>
        </w:rPr>
        <w:t>CAREER NOTES: Senior Technical Architect at Health Care Service Corporation (HCSC — Illinois Blue Cross / Blue Shield) — healthcare payer data architecture foundation. Senior Rules Engine Architect at Kemper Insurance.</w:t>
      </w:r>
    </w:p>
    <w:p xmlns:wp14="http://schemas.microsoft.com/office/word/2010/wordml" w14:paraId="1FDD1323" wp14:textId="77777777">
      <w:pPr>
        <w:pStyle w:val="Normal"/>
        <w:keepNext w:val="true"/>
        <w:pBdr>
          <w:bottom w:val="single" w:color="000000" w:sz="6" w:space="1"/>
        </w:pBdr>
        <w:spacing w:before="120" w:after="20" w:line="260" w:lineRule="exact"/>
        <w:jc w:val="start"/>
        <w:rPr/>
      </w:pPr>
      <w:r>
        <w:rPr>
          <w:rFonts w:ascii="Calibri" w:hAnsi="Calibri"/>
          <w:b/>
          <w:color w:val="000000"/>
          <w:sz w:val="22"/>
        </w:rPr>
        <w:t>AI INNOVATION &amp; HEALTHCARE FOCUS</w:t>
      </w:r>
    </w:p>
    <w:p xmlns:wp14="http://schemas.microsoft.com/office/word/2010/wordml" w14:paraId="5279F03F" wp14:textId="77777777">
      <w:pPr>
        <w:pStyle w:val="Normal"/>
        <w:spacing w:before="0" w:after="8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 xml:space="preserve">Building production agentic AI platform for healthcare data governance — autonomous agents for HIPAA-compliant data quality validation, intelligent ingestion orchestration, and compliance monitoring across PBM and clinical data environments. Designed FTAL </w:t>
      </w:r>
      <w:r>
        <w:rPr>
          <w:rFonts w:ascii="Calibri" w:hAnsi="Calibri"/>
          <w:b w:val="false"/>
          <w:i w:val="false"/>
          <w:sz w:val="21"/>
        </w:rPr>
        <w:t xml:space="preserve">(Faithfulness, Truthfulness, Accuracy, Latency) functional </w:t>
      </w:r>
      <w:r>
        <w:rPr>
          <w:rFonts w:ascii="Calibri" w:hAnsi="Calibri"/>
          <w:b w:val="false"/>
          <w:i w:val="false"/>
          <w:sz w:val="21"/>
        </w:rPr>
        <w:t>quality harness validating AI-generated outputs against faithfulness, accuracy, and regulatory alignment before production — governance-first approach ensuring AI outputs meet healthcare compliance requirements. Actively evaluating AI applications across revenue cycle optimization, clinical data interoperability, and healthcare operational automation.</w:t>
      </w:r>
    </w:p>
    <w:p xmlns:wp14="http://schemas.microsoft.com/office/word/2010/wordml" w14:paraId="6713B1BB" wp14:textId="77777777">
      <w:pPr>
        <w:pStyle w:val="Normal"/>
        <w:keepNext w:val="true"/>
        <w:pBdr>
          <w:bottom w:val="single" w:color="000000" w:sz="6" w:space="1"/>
        </w:pBdr>
        <w:spacing w:before="120" w:after="20" w:line="260" w:lineRule="exact"/>
        <w:jc w:val="start"/>
        <w:rPr/>
      </w:pPr>
      <w:r w:rsidRPr="05CE49AA" w:rsidR="05CE49AA">
        <w:rPr>
          <w:rFonts w:ascii="Calibri" w:hAnsi="Calibri"/>
          <w:b w:val="1"/>
          <w:bCs w:val="1"/>
          <w:color w:val="000000" w:themeColor="text1" w:themeTint="FF" w:themeShade="FF"/>
          <w:sz w:val="22"/>
          <w:szCs w:val="22"/>
        </w:rPr>
        <w:t>TECHNICAL SKILLS</w:t>
      </w:r>
    </w:p>
    <w:tbl>
      <w:tblPr>
        <w:tblStyle w:val="TableGrid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00" w:firstRow="0" w:lastRow="0" w:firstColumn="0" w:lastColumn="0" w:noHBand="0" w:noVBand="1"/>
      </w:tblPr>
      <w:tblGrid>
        <w:gridCol w:w="2430"/>
        <w:gridCol w:w="7785"/>
      </w:tblGrid>
      <w:tr w:rsidR="05CE49AA" w:rsidTr="05CE49AA" w14:paraId="5E816EA3">
        <w:trPr>
          <w:trHeight w:val="300"/>
        </w:trPr>
        <w:tc>
          <w:tcPr>
            <w:tcW w:w="24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583BD1BB" w14:textId="0C5E783B">
            <w:r w:rsidRPr="05CE49AA" w:rsidR="05CE49AA">
              <w:rPr>
                <w:b w:val="0"/>
                <w:bCs w:val="0"/>
                <w:sz w:val="22"/>
                <w:szCs w:val="22"/>
              </w:rPr>
              <w:t>Healthcare Platforms</w:t>
            </w:r>
          </w:p>
        </w:tc>
        <w:tc>
          <w:tcPr>
            <w:tcW w:w="77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549F5EBC" w14:textId="4452F869">
            <w:r w:rsidRPr="05CE49AA" w:rsidR="05CE49AA">
              <w:rPr>
                <w:b w:val="0"/>
                <w:bCs w:val="0"/>
                <w:sz w:val="22"/>
                <w:szCs w:val="22"/>
              </w:rPr>
              <w:t>HL7 (v2/v3), FHIR, Meditech EHR, Meaningful Use / CMS Reporting, NCPDP, X12 EDI, HIPAA, ACA compliance</w:t>
            </w:r>
          </w:p>
        </w:tc>
      </w:tr>
      <w:tr w:rsidR="05CE49AA" w:rsidTr="05CE49AA" w14:paraId="32B4D233">
        <w:trPr>
          <w:trHeight w:val="300"/>
        </w:trPr>
        <w:tc>
          <w:tcPr>
            <w:tcW w:w="24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43070FAF" w14:textId="56DC898A">
            <w:r w:rsidRPr="05CE49AA" w:rsidR="05CE49AA">
              <w:rPr>
                <w:b w:val="0"/>
                <w:bCs w:val="0"/>
                <w:sz w:val="22"/>
                <w:szCs w:val="22"/>
              </w:rPr>
              <w:t>Platforms &amp; Cloud</w:t>
            </w:r>
          </w:p>
        </w:tc>
        <w:tc>
          <w:tcPr>
            <w:tcW w:w="77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13AF2EE1" w14:textId="710A8473">
            <w:r w:rsidRPr="05CE49AA" w:rsidR="05CE49AA">
              <w:rPr>
                <w:b w:val="0"/>
                <w:bCs w:val="0"/>
                <w:sz w:val="22"/>
                <w:szCs w:val="22"/>
              </w:rPr>
              <w:t>Azure (Data Factory, Synapse, Event Hub, Data Lake, Purview), AWS (Glue, Lambda, S3, Athena, Redshift, CDK), GCP</w:t>
            </w:r>
          </w:p>
        </w:tc>
      </w:tr>
      <w:tr w:rsidR="05CE49AA" w:rsidTr="05CE49AA" w14:paraId="5EADBC5C">
        <w:trPr>
          <w:trHeight w:val="300"/>
        </w:trPr>
        <w:tc>
          <w:tcPr>
            <w:tcW w:w="24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03AF2C76" w14:textId="26B37A60">
            <w:r w:rsidRPr="05CE49AA" w:rsidR="05CE49AA">
              <w:rPr>
                <w:b w:val="0"/>
                <w:bCs w:val="0"/>
                <w:sz w:val="22"/>
                <w:szCs w:val="22"/>
              </w:rPr>
              <w:t>Data &amp; Integration</w:t>
            </w:r>
          </w:p>
        </w:tc>
        <w:tc>
          <w:tcPr>
            <w:tcW w:w="77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1F6B3D5C" w14:textId="55B90FC4">
            <w:r w:rsidRPr="05CE49AA" w:rsidR="05CE49AA">
              <w:rPr>
                <w:b w:val="0"/>
                <w:bCs w:val="0"/>
                <w:sz w:val="22"/>
                <w:szCs w:val="22"/>
              </w:rPr>
              <w:t>Apache Airflow, MuleSoft ESB, Informatica, Datastage, SSIS, ODI, Tibco, Talend, Apache Spark, Databricks</w:t>
            </w:r>
          </w:p>
        </w:tc>
      </w:tr>
      <w:tr w:rsidR="05CE49AA" w:rsidTr="05CE49AA" w14:paraId="00593B3F">
        <w:trPr>
          <w:trHeight w:val="300"/>
        </w:trPr>
        <w:tc>
          <w:tcPr>
            <w:tcW w:w="24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4FB4E534" w14:textId="4D2422CA">
            <w:r w:rsidRPr="05CE49AA" w:rsidR="05CE49AA">
              <w:rPr>
                <w:b w:val="0"/>
                <w:bCs w:val="0"/>
                <w:sz w:val="22"/>
                <w:szCs w:val="22"/>
              </w:rPr>
              <w:t>Databases</w:t>
            </w:r>
          </w:p>
        </w:tc>
        <w:tc>
          <w:tcPr>
            <w:tcW w:w="77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129DEA0C" w14:textId="703C4BFC">
            <w:r w:rsidRPr="05CE49AA" w:rsidR="05CE49AA">
              <w:rPr>
                <w:b w:val="0"/>
                <w:bCs w:val="0"/>
                <w:sz w:val="22"/>
                <w:szCs w:val="22"/>
              </w:rPr>
              <w:t>SQL Server, PostgreSQL, Oracle, DynamoDB, DB2, Teradata, Hadoop, ArangoDB</w:t>
            </w:r>
          </w:p>
        </w:tc>
      </w:tr>
      <w:tr w:rsidR="05CE49AA" w:rsidTr="05CE49AA" w14:paraId="5867A374">
        <w:trPr>
          <w:trHeight w:val="300"/>
        </w:trPr>
        <w:tc>
          <w:tcPr>
            <w:tcW w:w="24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40AE95DA" w14:textId="24A9B8C7">
            <w:r w:rsidRPr="05CE49AA" w:rsidR="05CE49AA">
              <w:rPr>
                <w:b w:val="0"/>
                <w:bCs w:val="0"/>
                <w:sz w:val="22"/>
                <w:szCs w:val="22"/>
              </w:rPr>
              <w:t>Languages &amp; Tools</w:t>
            </w:r>
          </w:p>
        </w:tc>
        <w:tc>
          <w:tcPr>
            <w:tcW w:w="77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65AE563F" w14:textId="4D843902">
            <w:r w:rsidRPr="05CE49AA" w:rsidR="05CE49AA">
              <w:rPr>
                <w:b w:val="0"/>
                <w:bCs w:val="0"/>
                <w:sz w:val="22"/>
                <w:szCs w:val="22"/>
              </w:rPr>
              <w:t>Python, SQL, Java, NoSQL, UML, Power BI, Tableau</w:t>
            </w:r>
          </w:p>
        </w:tc>
      </w:tr>
      <w:tr w:rsidR="05CE49AA" w:rsidTr="05CE49AA" w14:paraId="089656E4">
        <w:trPr>
          <w:trHeight w:val="300"/>
        </w:trPr>
        <w:tc>
          <w:tcPr>
            <w:tcW w:w="24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0ECDA02F" w14:textId="6AA0F170">
            <w:r w:rsidRPr="05CE49AA" w:rsidR="05CE49AA">
              <w:rPr>
                <w:b w:val="0"/>
                <w:bCs w:val="0"/>
                <w:sz w:val="22"/>
                <w:szCs w:val="22"/>
              </w:rPr>
              <w:t>Architecture</w:t>
            </w:r>
          </w:p>
        </w:tc>
        <w:tc>
          <w:tcPr>
            <w:tcW w:w="77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51BB078A" w14:textId="150F8447">
            <w:r w:rsidRPr="05CE49AA" w:rsidR="05CE49AA">
              <w:rPr>
                <w:b w:val="0"/>
                <w:bCs w:val="0"/>
                <w:sz w:val="22"/>
                <w:szCs w:val="22"/>
              </w:rPr>
              <w:t>Event-driven, pub/sub, CQRS, microservices, canonical data models, data mesh, data products, DSL/config-driven</w:t>
            </w:r>
          </w:p>
        </w:tc>
      </w:tr>
      <w:tr w:rsidR="05CE49AA" w:rsidTr="05CE49AA" w14:paraId="5021364D">
        <w:trPr>
          <w:trHeight w:val="300"/>
        </w:trPr>
        <w:tc>
          <w:tcPr>
            <w:tcW w:w="24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48208104" w14:textId="37716245">
            <w:r w:rsidRPr="05CE49AA" w:rsidR="05CE49AA">
              <w:rPr>
                <w:b w:val="0"/>
                <w:bCs w:val="0"/>
                <w:sz w:val="22"/>
                <w:szCs w:val="22"/>
              </w:rPr>
              <w:t>AI &amp; ML</w:t>
            </w:r>
          </w:p>
        </w:tc>
        <w:tc>
          <w:tcPr>
            <w:tcW w:w="77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5CE49AA" w:rsidRDefault="05CE49AA" w14:paraId="02DFF645" w14:textId="39886B2B">
            <w:r w:rsidRPr="05CE49AA" w:rsidR="05CE49AA">
              <w:rPr>
                <w:b w:val="0"/>
                <w:bCs w:val="0"/>
                <w:sz w:val="22"/>
                <w:szCs w:val="22"/>
              </w:rPr>
              <w:t>Agentic AI orchestration, multi-agent systems, RAG pipelines, LLM integration, knowledge graphs, healthcare data automation</w:t>
            </w:r>
          </w:p>
        </w:tc>
      </w:tr>
    </w:tbl>
    <w:p xmlns:wp14="http://schemas.microsoft.com/office/word/2010/wordml" w14:paraId="646D8C50" wp14:textId="77777777">
      <w:pPr>
        <w:pStyle w:val="Normal"/>
        <w:keepNext w:val="true"/>
        <w:pBdr>
          <w:bottom w:val="single" w:color="000000" w:sz="6" w:space="1"/>
        </w:pBdr>
        <w:spacing w:before="120" w:after="20" w:line="260" w:lineRule="exact"/>
        <w:jc w:val="start"/>
        <w:rPr/>
      </w:pPr>
      <w:r>
        <w:rPr>
          <w:rFonts w:ascii="Calibri" w:hAnsi="Calibri"/>
          <w:b/>
          <w:color w:val="000000"/>
          <w:sz w:val="22"/>
        </w:rPr>
        <w:t>EDUCATION &amp; PROFESSIONAL DEVELOPMENT</w:t>
      </w:r>
    </w:p>
    <w:p xmlns:wp14="http://schemas.microsoft.com/office/word/2010/wordml" w14:paraId="48EA0B77" wp14:textId="77777777">
      <w:pPr>
        <w:pStyle w:val="Normal"/>
        <w:spacing w:before="0" w:after="2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ME, Concurrent Design Management — Stevens Institute of Technology, Hoboken, NJ</w:t>
      </w:r>
    </w:p>
    <w:p xmlns:wp14="http://schemas.microsoft.com/office/word/2010/wordml" w14:paraId="0389B06F" wp14:textId="77777777">
      <w:pPr>
        <w:pStyle w:val="Normal"/>
        <w:spacing w:before="0" w:after="2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BS, Marine Engineering Systems — United States Merchant Marine Academy, Kings Point, NY</w:t>
      </w:r>
    </w:p>
    <w:p xmlns:wp14="http://schemas.microsoft.com/office/word/2010/wordml" w14:paraId="672A6659" wp14:textId="77777777">
      <w:pPr>
        <w:pStyle w:val="Normal"/>
        <w:spacing w:before="0" w:after="20" w:line="260" w:lineRule="exact"/>
        <w:jc w:val="start"/>
        <w:rPr>
          <w:rFonts w:ascii="Calibri" w:hAnsi="Calibri"/>
          <w:b w:val="false"/>
          <w:i w:val="false"/>
          <w:sz w:val="21"/>
        </w:rPr>
      </w:pPr>
      <w:r>
        <w:rPr>
          <w:rFonts w:ascii="Calibri" w:hAnsi="Calibri"/>
          <w:b w:val="false"/>
          <w:i w:val="false"/>
          <w:sz w:val="21"/>
        </w:rPr>
      </w:r>
    </w:p>
    <w:p xmlns:wp14="http://schemas.microsoft.com/office/word/2010/wordml" w14:paraId="44BC361F" wp14:textId="77777777">
      <w:pPr>
        <w:pStyle w:val="Normal"/>
        <w:spacing w:before="0" w:after="20" w:line="260" w:lineRule="exact"/>
        <w:jc w:val="start"/>
        <w:rPr>
          <w:rFonts w:ascii="Calibri" w:hAnsi="Calibri"/>
          <w:b w:val="false"/>
          <w:i w:val="false"/>
          <w:sz w:val="21"/>
        </w:rPr>
      </w:pPr>
      <w:r>
        <w:rPr>
          <w:rFonts w:ascii="Calibri" w:hAnsi="Calibri"/>
          <w:b w:val="false"/>
          <w:i w:val="false"/>
          <w:sz w:val="21"/>
        </w:rPr>
        <w:t>Essentials of Executive Leadership — Booth School of Business, University of Chicago</w:t>
      </w:r>
    </w:p>
    <w:p xmlns:wp14="http://schemas.microsoft.com/office/word/2010/wordml" w14:paraId="0A37501D" wp14:textId="77777777">
      <w:pPr>
        <w:pStyle w:val="Normal"/>
        <w:spacing w:before="0" w:after="80" w:line="260" w:lineRule="exact"/>
        <w:jc w:val="start"/>
        <w:rPr>
          <w:rFonts w:ascii="Calibri" w:hAnsi="Calibri"/>
          <w:b w:val="false"/>
          <w:i w:val="false"/>
          <w:sz w:val="21"/>
        </w:rPr>
      </w:pPr>
      <w:r>
        <w:rPr/>
      </w:r>
    </w:p>
    <w:p xmlns:wp14="http://schemas.microsoft.com/office/word/2010/wordml" w14:paraId="2EDD128B" wp14:textId="77777777">
      <w:pPr>
        <w:pStyle w:val="Normal"/>
        <w:keepNext w:val="true"/>
        <w:pBdr>
          <w:bottom w:val="single" w:color="000000" w:sz="6" w:space="1"/>
        </w:pBdr>
        <w:spacing w:before="120" w:after="20" w:line="260" w:lineRule="exact"/>
        <w:jc w:val="start"/>
        <w:rPr/>
      </w:pPr>
      <w:r>
        <w:rPr>
          <w:rFonts w:ascii="Calibri" w:hAnsi="Calibri"/>
          <w:b/>
          <w:color w:val="000000"/>
          <w:sz w:val="22"/>
        </w:rPr>
        <w:t>ADDITIONAL INFORMATION</w:t>
      </w:r>
    </w:p>
    <w:p xmlns:wp14="http://schemas.microsoft.com/office/word/2010/wordml" w14:paraId="3654C341" wp14:textId="77777777">
      <w:pPr>
        <w:pStyle w:val="Normal"/>
        <w:spacing w:before="0" w:after="0" w:line="260" w:lineRule="exact"/>
        <w:jc w:val="start"/>
        <w:rPr/>
      </w:pPr>
      <w:r>
        <w:rPr>
          <w:rFonts w:ascii="Calibri" w:hAnsi="Calibri"/>
          <w:b w:val="false"/>
          <w:i w:val="false"/>
          <w:sz w:val="21"/>
        </w:rPr>
        <w:t>Military: Merchant Marine Engineering Officer, US Navy Reserve  |  Community: 15+ years mentoring 100+ NROTC students as Volunteer Marine Engineer for MANATRA</w:t>
      </w:r>
    </w:p>
    <w:sectPr>
      <w:type w:val="nextPage"/>
      <w:pgSz w:w="12240" w:h="15840" w:orient="portrait"/>
      <w:pgMar w:top="864" w:right="1008" w:bottom="864" w:left="1008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19ad2acc"/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7672b69e"/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4d7e4261"/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6755423c"/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29dea71b"/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2b16dc06"/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372f313f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40"/>
  <w:trackRevisions w:val="false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14:docId w14:val="61173F23"/>
  <w15:docId w15:val="{9E9A2D82-235C-4763-A1E3-146D4AF42F12}"/>
  <w:rsids>
    <w:rsidRoot w:val="05CE49AA"/>
    <w:rsid w:val="05CE49AA"/>
    <w:rsid w:val="1957E06A"/>
    <w:rsid w:val="2FC768CF"/>
    <w:rsid w:val="660D6D97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mbria" w:hAnsi="Cambria" w:eastAsia="ＭＳ 明朝" w:cs="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before="0" w:after="200" w:line="276" w:lineRule="auto"/>
      <w:jc w:val="start"/>
    </w:pPr>
    <w:rPr>
      <w:rFonts w:ascii="Cambria" w:hAnsi="Cambria" w:eastAsia="ＭＳ 明朝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start="360" w:hanging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before="0" w:after="0" w:line="240" w:lineRule="auto"/>
      <w:jc w:val="start"/>
    </w:pPr>
    <w:rPr>
      <w:rFonts w:ascii="Cambria" w:hAnsi="Cambria" w:eastAsia="ＭＳ 明朝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="Calibri" w:hAnsi="Calibri" w:eastAsia="ＭＳ ゴシック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before="0" w:after="12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start="720" w:hanging="36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star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before="0" w:after="200" w:line="276" w:lineRule="auto"/>
      <w:jc w:val="start"/>
    </w:pPr>
    <w:rPr>
      <w:rFonts w:ascii="Courier" w:hAnsi="Courier" w:eastAsia="ＭＳ 明朝" w:cs="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python-docx</dc:creator>
  <dc:description>generated by python-docx</dc:description>
  <dc:language>en-US</dc:language>
  <lastModifiedBy>Michael Vogt</lastModifiedBy>
  <dcterms:modified xsi:type="dcterms:W3CDTF">2026-04-24T22:15:42.5414442Z</dcterms:modified>
  <revision>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