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4F8A90D4" wp14:textId="77777777">
      <w:pPr>
        <w:spacing w:before="0" w:after="20"/>
        <w:jc w:val="center"/>
      </w:pPr>
      <w:r>
        <w:rPr>
          <w:rFonts w:ascii="Calibri" w:hAnsi="Calibri"/>
          <w:b/>
          <w:sz w:val="32"/>
        </w:rPr>
        <w:t>MICHAEL VOGT</w:t>
      </w:r>
    </w:p>
    <w:p xmlns:wp14="http://schemas.microsoft.com/office/word/2010/wordml" w14:paraId="7036735A" wp14:textId="77777777">
      <w:pPr>
        <w:spacing w:before="0" w:after="60"/>
        <w:jc w:val="center"/>
      </w:pPr>
      <w:r>
        <w:rPr>
          <w:rFonts w:ascii="Calibri" w:hAnsi="Calibri"/>
          <w:sz w:val="20"/>
        </w:rPr>
        <w:t>Sugar Grove, IL 60554  |  312-772-4762  |  mvogt99@gmail.com  |  linkedin.com/in/mike-vogt-analytics</w:t>
      </w:r>
    </w:p>
    <w:p xmlns:wp14="http://schemas.microsoft.com/office/word/2010/wordml" w14:paraId="07DAC14A" wp14:textId="77777777">
      <w:pPr>
        <w:spacing w:before="80" w:after="20"/>
        <w:pBdr>
          <w:bottom w:val="single" w:color="000000" w:sz="6" w:space="1"/>
        </w:pBdr>
      </w:pPr>
      <w:r>
        <w:rPr>
          <w:rFonts w:ascii="Calibri" w:hAnsi="Calibri"/>
          <w:b/>
          <w:sz w:val="23"/>
        </w:rPr>
        <w:t>PROFESSIONAL SUMMARY</w:t>
      </w:r>
    </w:p>
    <w:p xmlns:wp14="http://schemas.microsoft.com/office/word/2010/wordml" w14:paraId="672BFD73" wp14:textId="77777777">
      <w:pPr>
        <w:spacing w:before="40" w:after="60"/>
      </w:pPr>
      <w:r>
        <w:rPr>
          <w:rFonts w:ascii="Calibri" w:hAnsi="Calibri"/>
          <w:b w:val="0"/>
          <w:i w:val="0"/>
          <w:sz w:val="21"/>
        </w:rPr>
        <w:t>AI &amp; Data Architect with 20+ years designing enterprise systems, multi-agent governance frameworks, and cloud-native data platforms for healthcare (payor/provider/PBM) and financial services. Translates business problems into end-to-end AI and data architecture blueprints — from autonomous agent orchestration and RAG-enabled data products to canonical data models at scale. Consulting leader who has built practices from zero to fully operational within 18 months and developed 40+ professionals into senior roles across engineering, architecture, and client-facing consulting.</w:t>
      </w:r>
    </w:p>
    <w:p xmlns:wp14="http://schemas.microsoft.com/office/word/2010/wordml" w14:paraId="168A1AEF" wp14:textId="77777777">
      <w:pPr>
        <w:spacing w:before="80" w:after="20"/>
        <w:pBdr>
          <w:bottom w:val="single" w:color="000000" w:sz="6" w:space="1"/>
        </w:pBdr>
      </w:pPr>
      <w:r>
        <w:rPr>
          <w:rFonts w:ascii="Calibri" w:hAnsi="Calibri"/>
          <w:b/>
          <w:sz w:val="23"/>
        </w:rPr>
        <w:t>PROFESSIONAL EXPERIENCE</w:t>
      </w:r>
    </w:p>
    <w:p xmlns:wp14="http://schemas.microsoft.com/office/word/2010/wordml" w14:paraId="7CE82FF5" wp14:textId="77777777">
      <w:pPr>
        <w:spacing w:before="100" w:after="20"/>
      </w:pPr>
      <w:r>
        <w:rPr>
          <w:rFonts w:ascii="Calibri" w:hAnsi="Calibri"/>
          <w:b/>
          <w:sz w:val="21"/>
        </w:rPr>
        <w:t>AHEAD  |  Chicago, IL  |  2023 – Present</w:t>
      </w:r>
    </w:p>
    <w:p xmlns:wp14="http://schemas.microsoft.com/office/word/2010/wordml" w14:paraId="71146B17" wp14:textId="77777777">
      <w:pPr>
        <w:spacing w:before="0" w:after="20"/>
      </w:pPr>
      <w:r>
        <w:rPr>
          <w:rFonts w:ascii="Calibri" w:hAnsi="Calibri"/>
          <w:i/>
          <w:sz w:val="21"/>
        </w:rPr>
        <w:t>Principal Technical Consultant</w:t>
      </w:r>
    </w:p>
    <w:p xmlns:wp14="http://schemas.microsoft.com/office/word/2010/wordml" w14:paraId="1531EB4D" wp14:textId="7DDFFF05">
      <w:pPr>
        <w:spacing w:before="0" w:after="40"/>
      </w:pPr>
      <w:r w:rsidRPr="52D88DB9" w:rsidR="52D88DB9">
        <w:rPr>
          <w:rFonts w:ascii="Calibri" w:hAnsi="Calibri"/>
          <w:b w:val="0"/>
          <w:bCs w:val="0"/>
          <w:i w:val="0"/>
          <w:iCs w:val="0"/>
          <w:sz w:val="21"/>
          <w:szCs w:val="21"/>
        </w:rPr>
        <w:t xml:space="preserve">Lead architect and consulting advisor designing and delivering cloud-native, event-driven data platforms for enterprise clients across healthcare clients (PBM on AWS, Provider on Azure). Conduct workshops to </w:t>
      </w:r>
      <w:r w:rsidRPr="52D88DB9" w:rsidR="52D88DB9">
        <w:rPr>
          <w:rFonts w:ascii="Calibri" w:hAnsi="Calibri"/>
          <w:b w:val="0"/>
          <w:bCs w:val="0"/>
          <w:i w:val="0"/>
          <w:iCs w:val="0"/>
          <w:sz w:val="21"/>
          <w:szCs w:val="21"/>
        </w:rPr>
        <w:t>identify</w:t>
      </w:r>
      <w:r w:rsidRPr="52D88DB9" w:rsidR="52D88DB9">
        <w:rPr>
          <w:rFonts w:ascii="Calibri" w:hAnsi="Calibri"/>
          <w:b w:val="0"/>
          <w:bCs w:val="0"/>
          <w:i w:val="0"/>
          <w:iCs w:val="0"/>
          <w:sz w:val="21"/>
          <w:szCs w:val="21"/>
        </w:rPr>
        <w:t xml:space="preserve"> agentic AI opportunities and translate business requirements into AI architecture blueprints.</w:t>
      </w:r>
    </w:p>
    <w:p xmlns:wp14="http://schemas.microsoft.com/office/word/2010/wordml" w14:paraId="1462BA75" wp14:textId="77777777">
      <w:pPr>
        <w:pStyle w:val="ListBullet"/>
        <w:spacing w:before="0" w:after="20"/>
      </w:pPr>
      <w:r>
        <w:rPr>
          <w:rFonts w:ascii="Calibri" w:hAnsi="Calibri"/>
          <w:sz w:val="21"/>
        </w:rPr>
        <w:t>Architected an agentic AI canonical data model (CDM) framework for a PBM client — autonomous agents reasoned across enterprise data governance guardrails, upstream source metadata spanning claims (NCPDP, ANSI X12 EDI) and pharmacy domains, and regulatory context (FHIR, HIPAA), guided by domain-specific tuning prompts; implemented human-in-the-loop governance review gates prior to canonical definition promotion</w:t>
      </w:r>
    </w:p>
    <w:p xmlns:wp14="http://schemas.microsoft.com/office/word/2010/wordml" w14:paraId="2D129CD0" wp14:textId="77777777">
      <w:pPr>
        <w:pStyle w:val="ListBullet"/>
        <w:spacing w:before="0" w:after="20"/>
      </w:pPr>
      <w:r>
        <w:rPr>
          <w:rFonts w:ascii="Calibri" w:hAnsi="Calibri"/>
          <w:sz w:val="21"/>
        </w:rPr>
        <w:t>Designed multi-agent AI augmentation layer for the enterprise data lakehouse — coordinating Data Steward AI and Developer AI agents over an event-driven service bus to automate cataloging, lineage validation, and self-healing pipeline remediation across 20+ data sources and 3 client domains</w:t>
      </w:r>
    </w:p>
    <w:p xmlns:wp14="http://schemas.microsoft.com/office/word/2010/wordml" w14:paraId="332738C6" wp14:textId="72E7AD1D">
      <w:pPr>
        <w:pStyle w:val="ListBullet"/>
        <w:spacing w:before="0" w:after="20"/>
        <w:rPr/>
      </w:pPr>
      <w:r w:rsidRPr="52D88DB9" w:rsidR="52D88DB9">
        <w:rPr>
          <w:rFonts w:ascii="Calibri" w:hAnsi="Calibri"/>
          <w:sz w:val="21"/>
          <w:szCs w:val="21"/>
        </w:rPr>
        <w:t xml:space="preserve">Defined AI-ready ingestion and consumption architecture incorporating Model Context Protocol (MCP) integration points and RAG/vector database support — enabling downstream AI agents and LLMs to query governed </w:t>
      </w:r>
      <w:r w:rsidRPr="52D88DB9" w:rsidR="52D88DB9">
        <w:rPr>
          <w:rFonts w:ascii="Calibri" w:hAnsi="Calibri"/>
          <w:sz w:val="21"/>
          <w:szCs w:val="21"/>
        </w:rPr>
        <w:t>canonical</w:t>
      </w:r>
      <w:r w:rsidRPr="52D88DB9" w:rsidR="52D88DB9">
        <w:rPr>
          <w:rFonts w:ascii="Calibri" w:hAnsi="Calibri"/>
          <w:sz w:val="21"/>
          <w:szCs w:val="21"/>
        </w:rPr>
        <w:t xml:space="preserve"> data products as tool-callable services, preserving data governance controls from ingestion through consumption</w:t>
      </w:r>
    </w:p>
    <w:p xmlns:wp14="http://schemas.microsoft.com/office/word/2010/wordml" w14:paraId="3BF9EDCA" wp14:textId="77777777">
      <w:pPr>
        <w:pStyle w:val="ListBullet"/>
        <w:spacing w:before="0" w:after="20"/>
      </w:pPr>
      <w:r>
        <w:rPr>
          <w:rFonts w:ascii="Calibri" w:hAnsi="Calibri"/>
          <w:sz w:val="21"/>
        </w:rPr>
        <w:t>Introduced canonical data model vocabulary — core data products, use-case data products, data producers, consumers, and consumables — as shared decomposition framework unifying engineers, architects, product owners, and business leaders around a common language for data</w:t>
      </w:r>
    </w:p>
    <w:p xmlns:wp14="http://schemas.microsoft.com/office/word/2010/wordml" w14:paraId="6253D12A" wp14:textId="77777777">
      <w:pPr>
        <w:pStyle w:val="ListBullet"/>
        <w:spacing w:before="0" w:after="20"/>
      </w:pPr>
      <w:r>
        <w:rPr>
          <w:rFonts w:ascii="Calibri" w:hAnsi="Calibri"/>
          <w:sz w:val="21"/>
        </w:rPr>
        <w:t>Designed DSL/configuration-driven data platforms supporting core and use-case data products, enabling consumer-driven architecture where consumables (analytics, curated datasets, APIs) flow from governed canonical data models</w:t>
      </w:r>
    </w:p>
    <w:p xmlns:wp14="http://schemas.microsoft.com/office/word/2010/wordml" w14:paraId="45ABF34D" wp14:textId="77777777">
      <w:pPr>
        <w:pStyle w:val="ListBullet"/>
        <w:spacing w:before="0" w:after="20"/>
      </w:pPr>
      <w:r>
        <w:rPr>
          <w:rFonts w:ascii="Calibri" w:hAnsi="Calibri"/>
          <w:sz w:val="21"/>
        </w:rPr>
        <w:t>Led stakeholder alignment across engineers, architects, product owners, product managers, and data/business/IT leaders — demonstrating outcomes rather than asserting authority to achieve organizational consensus</w:t>
      </w:r>
    </w:p>
    <w:p xmlns:wp14="http://schemas.microsoft.com/office/word/2010/wordml" w14:paraId="533333B4" wp14:textId="77777777">
      <w:pPr>
        <w:spacing w:before="100" w:after="20"/>
      </w:pPr>
      <w:r>
        <w:rPr>
          <w:rFonts w:ascii="Calibri" w:hAnsi="Calibri"/>
          <w:b/>
          <w:sz w:val="21"/>
        </w:rPr>
        <w:t>PRICEWATERHOUSECOOPERS (PwC)  |  Chicago, IL  |  2020 – 2023</w:t>
      </w:r>
    </w:p>
    <w:p xmlns:wp14="http://schemas.microsoft.com/office/word/2010/wordml" w14:paraId="26DF2B74" wp14:textId="77777777">
      <w:pPr>
        <w:spacing w:before="0" w:after="20"/>
      </w:pPr>
      <w:r>
        <w:rPr>
          <w:rFonts w:ascii="Calibri" w:hAnsi="Calibri"/>
          <w:i/>
          <w:sz w:val="21"/>
        </w:rPr>
        <w:t>Director, Advisory, Data Architecture</w:t>
      </w:r>
    </w:p>
    <w:p xmlns:wp14="http://schemas.microsoft.com/office/word/2010/wordml" w14:paraId="466BBFA9" wp14:textId="77777777">
      <w:pPr>
        <w:spacing w:before="0" w:after="40"/>
      </w:pPr>
      <w:r>
        <w:rPr>
          <w:rFonts w:ascii="Calibri" w:hAnsi="Calibri"/>
          <w:b w:val="0"/>
          <w:i w:val="0"/>
          <w:sz w:val="21"/>
        </w:rPr>
        <w:t>Chief architect directing Data as a Product capability. Led design, engineering, and delivery of enterprise cloud-native data platforms with a distributed global team of 50+ and $5M+ budget.</w:t>
      </w:r>
    </w:p>
    <w:p xmlns:wp14="http://schemas.microsoft.com/office/word/2010/wordml" w14:paraId="7FBAF830" wp14:textId="702628B9">
      <w:pPr>
        <w:pStyle w:val="ListBullet"/>
        <w:spacing w:before="0" w:after="20"/>
        <w:rPr/>
      </w:pPr>
      <w:r w:rsidRPr="52D88DB9" w:rsidR="56AB2DB9">
        <w:rPr>
          <w:rFonts w:ascii="Calibri" w:hAnsi="Calibri"/>
          <w:sz w:val="21"/>
          <w:szCs w:val="21"/>
        </w:rPr>
        <w:t xml:space="preserve">Led </w:t>
      </w:r>
      <w:r w:rsidRPr="52D88DB9" w:rsidR="56AB2DB9">
        <w:rPr>
          <w:rFonts w:ascii="Calibri" w:hAnsi="Calibri"/>
          <w:sz w:val="21"/>
          <w:szCs w:val="21"/>
        </w:rPr>
        <w:t>hyperscaler</w:t>
      </w:r>
      <w:r w:rsidRPr="52D88DB9" w:rsidR="56AB2DB9">
        <w:rPr>
          <w:rFonts w:ascii="Calibri" w:hAnsi="Calibri"/>
          <w:sz w:val="21"/>
          <w:szCs w:val="21"/>
        </w:rPr>
        <w:t>-agnostic architecture during extension of data platform from Azure to AWS and GCP — achieved senior partner alignment on unified CDM configuration metadata and source-to-target mappings, preventing fragmentation across three separate implementations</w:t>
      </w:r>
    </w:p>
    <w:p xmlns:wp14="http://schemas.microsoft.com/office/word/2010/wordml" w14:paraId="502B0009" wp14:textId="77777777">
      <w:pPr>
        <w:pStyle w:val="ListBullet"/>
        <w:spacing w:before="0" w:after="20"/>
      </w:pPr>
      <w:r>
        <w:rPr>
          <w:rFonts w:ascii="Calibri" w:hAnsi="Calibri"/>
          <w:sz w:val="21"/>
        </w:rPr>
        <w:t>Presented unified platform architecture case to partners and senior managers — outcome: architecture remained unified, shaping how the platform was built and marketed firm-wide</w:t>
      </w:r>
    </w:p>
    <w:p xmlns:wp14="http://schemas.microsoft.com/office/word/2010/wordml" w14:paraId="20CA033F" wp14:textId="4B9E2CF4">
      <w:pPr>
        <w:pStyle w:val="ListBullet"/>
        <w:spacing w:before="0" w:after="20"/>
        <w:rPr/>
      </w:pPr>
      <w:r w:rsidRPr="52D88DB9" w:rsidR="52D88DB9">
        <w:rPr>
          <w:rFonts w:ascii="Calibri" w:hAnsi="Calibri"/>
          <w:sz w:val="21"/>
          <w:szCs w:val="21"/>
        </w:rPr>
        <w:t>Developed junior offshore engineer</w:t>
      </w:r>
      <w:r w:rsidRPr="52D88DB9" w:rsidR="17BEEBC9">
        <w:rPr>
          <w:rFonts w:ascii="Calibri" w:hAnsi="Calibri"/>
          <w:sz w:val="21"/>
          <w:szCs w:val="21"/>
        </w:rPr>
        <w:t>s</w:t>
      </w:r>
      <w:r w:rsidRPr="52D88DB9" w:rsidR="52D88DB9">
        <w:rPr>
          <w:rFonts w:ascii="Calibri" w:hAnsi="Calibri"/>
          <w:sz w:val="21"/>
          <w:szCs w:val="21"/>
        </w:rPr>
        <w:t xml:space="preserve"> from task implementer</w:t>
      </w:r>
      <w:r w:rsidRPr="52D88DB9" w:rsidR="357DC12C">
        <w:rPr>
          <w:rFonts w:ascii="Calibri" w:hAnsi="Calibri"/>
          <w:sz w:val="21"/>
          <w:szCs w:val="21"/>
        </w:rPr>
        <w:t>s</w:t>
      </w:r>
      <w:r w:rsidRPr="52D88DB9" w:rsidR="52D88DB9">
        <w:rPr>
          <w:rFonts w:ascii="Calibri" w:hAnsi="Calibri"/>
          <w:sz w:val="21"/>
          <w:szCs w:val="21"/>
        </w:rPr>
        <w:t xml:space="preserve"> to design conversation leader</w:t>
      </w:r>
      <w:r w:rsidRPr="52D88DB9" w:rsidR="43FB9334">
        <w:rPr>
          <w:rFonts w:ascii="Calibri" w:hAnsi="Calibri"/>
          <w:sz w:val="21"/>
          <w:szCs w:val="21"/>
        </w:rPr>
        <w:t>s</w:t>
      </w:r>
      <w:r w:rsidRPr="52D88DB9" w:rsidR="52D88DB9">
        <w:rPr>
          <w:rFonts w:ascii="Calibri" w:hAnsi="Calibri"/>
          <w:sz w:val="21"/>
          <w:szCs w:val="21"/>
        </w:rPr>
        <w:t xml:space="preserve"> through progressive coaching; client team launched new use case independently post-engagement</w:t>
      </w:r>
    </w:p>
    <w:p xmlns:wp14="http://schemas.microsoft.com/office/word/2010/wordml" w14:paraId="40C5A41E" wp14:textId="77777777">
      <w:pPr>
        <w:spacing w:before="100" w:after="20"/>
      </w:pPr>
      <w:r>
        <w:rPr>
          <w:rFonts w:ascii="Calibri" w:hAnsi="Calibri"/>
          <w:b/>
          <w:sz w:val="21"/>
        </w:rPr>
        <w:t>SPR CONSULTING  |  Chicago, IL  |  2018 – 2020</w:t>
      </w:r>
    </w:p>
    <w:p xmlns:wp14="http://schemas.microsoft.com/office/word/2010/wordml" w14:paraId="273F6C10" wp14:textId="77777777">
      <w:pPr>
        <w:spacing w:before="0" w:after="20"/>
      </w:pPr>
      <w:r>
        <w:rPr>
          <w:rFonts w:ascii="Calibri" w:hAnsi="Calibri"/>
          <w:i/>
          <w:sz w:val="21"/>
        </w:rPr>
        <w:t>Executive Director, Data, Analytics and Machine Learning</w:t>
      </w:r>
    </w:p>
    <w:p xmlns:wp14="http://schemas.microsoft.com/office/word/2010/wordml" w14:paraId="474D8FDE" wp14:textId="77777777">
      <w:pPr>
        <w:spacing w:before="0" w:after="40"/>
      </w:pPr>
      <w:r>
        <w:rPr>
          <w:rFonts w:ascii="Calibri" w:hAnsi="Calibri"/>
          <w:b w:val="0"/>
          <w:i w:val="0"/>
          <w:sz w:val="21"/>
        </w:rPr>
        <w:t>Practice owner with full P&amp;L, HR, and client satisfaction responsibility across analytics, BI, AI, and cloud data platforms on Azure and AWS.</w:t>
      </w:r>
    </w:p>
    <w:p xmlns:wp14="http://schemas.microsoft.com/office/word/2010/wordml" w14:paraId="5ADA958C" wp14:textId="77777777">
      <w:pPr>
        <w:pStyle w:val="ListBullet"/>
        <w:spacing w:before="0" w:after="20"/>
      </w:pPr>
      <w:r>
        <w:rPr>
          <w:rFonts w:ascii="Calibri" w:hAnsi="Calibri"/>
          <w:sz w:val="21"/>
        </w:rPr>
        <w:t>Built data and analytics practice from zero to $4.5M revenue in under 3 years, tripling headcount while maintaining profitability — developed data engineers with no cloud experience into consultants leading Azure and AWS engagements</w:t>
      </w:r>
    </w:p>
    <w:p xmlns:wp14="http://schemas.microsoft.com/office/word/2010/wordml" w14:paraId="4E4B7EB0" wp14:textId="77777777">
      <w:pPr>
        <w:pStyle w:val="ListBullet"/>
        <w:spacing w:before="0" w:after="20"/>
      </w:pPr>
      <w:r>
        <w:rPr>
          <w:rFonts w:ascii="Calibri" w:hAnsi="Calibri"/>
          <w:sz w:val="21"/>
        </w:rPr>
        <w:t>Increased practice profitability 40% and capacity 300% in less than 1 year through modern technology adoption and strategic service expansion</w:t>
      </w:r>
    </w:p>
    <w:p xmlns:wp14="http://schemas.microsoft.com/office/word/2010/wordml" w14:paraId="1660D7FA" wp14:textId="77777777">
      <w:pPr>
        <w:pStyle w:val="ListBullet"/>
        <w:spacing w:before="0" w:after="20"/>
      </w:pPr>
      <w:r>
        <w:rPr>
          <w:rFonts w:ascii="Calibri" w:hAnsi="Calibri"/>
          <w:sz w:val="21"/>
        </w:rPr>
        <w:t>Lowered client startup costs 40% by creating Cloud Data Platform Accelerator — delivered first event-driven cloud data platforms on Azure (global professional services firm) and AWS (marketing technology client)</w:t>
      </w:r>
    </w:p>
    <w:p xmlns:wp14="http://schemas.microsoft.com/office/word/2010/wordml" w14:paraId="0B80AB66" wp14:textId="77777777">
      <w:pPr>
        <w:spacing w:before="100" w:after="20"/>
      </w:pPr>
      <w:r>
        <w:rPr>
          <w:rFonts w:ascii="Calibri" w:hAnsi="Calibri"/>
          <w:b/>
          <w:sz w:val="21"/>
        </w:rPr>
        <w:t>CAPGEMINI (SOGETI)  |  Westchester, IL  |  2017 – 2018</w:t>
      </w:r>
    </w:p>
    <w:p xmlns:wp14="http://schemas.microsoft.com/office/word/2010/wordml" w14:paraId="3F5C0AEC" wp14:textId="77777777">
      <w:pPr>
        <w:spacing w:before="0" w:after="20"/>
      </w:pPr>
      <w:r>
        <w:rPr>
          <w:rFonts w:ascii="Calibri" w:hAnsi="Calibri"/>
          <w:i/>
          <w:sz w:val="21"/>
        </w:rPr>
        <w:t>Senior Manager</w:t>
      </w:r>
    </w:p>
    <w:p xmlns:wp14="http://schemas.microsoft.com/office/word/2010/wordml" w14:paraId="1DF2FF9A" wp14:textId="77777777">
      <w:pPr>
        <w:pStyle w:val="ListBullet"/>
        <w:spacing w:before="0" w:after="20"/>
      </w:pPr>
      <w:r>
        <w:rPr>
          <w:rFonts w:ascii="Calibri" w:hAnsi="Calibri"/>
          <w:sz w:val="21"/>
        </w:rPr>
        <w:t>Modernized enterprise data integration platform from on-premises to Azure for large beverage company, designing cloud-agnostic architecture with open-source technologies ensuring future growth without vendor lock-in</w:t>
      </w:r>
    </w:p>
    <w:p xmlns:wp14="http://schemas.microsoft.com/office/word/2010/wordml" w14:paraId="0D74C8AC" wp14:textId="77777777">
      <w:pPr>
        <w:pStyle w:val="ListBullet"/>
        <w:spacing w:before="0" w:after="20"/>
      </w:pPr>
      <w:r>
        <w:rPr>
          <w:rFonts w:ascii="Calibri" w:hAnsi="Calibri"/>
          <w:sz w:val="21"/>
        </w:rPr>
        <w:t>Managed on/offshore team of project managers, architects, engineers, and analysts as player-coach — removed technical and political roadblocks to ensure client delivery on time</w:t>
      </w:r>
    </w:p>
    <w:p xmlns:wp14="http://schemas.microsoft.com/office/word/2010/wordml" w14:paraId="437994F0" wp14:textId="77777777">
      <w:pPr>
        <w:spacing w:before="100" w:after="20"/>
      </w:pPr>
      <w:r>
        <w:rPr>
          <w:rFonts w:ascii="Calibri" w:hAnsi="Calibri"/>
          <w:b/>
          <w:sz w:val="21"/>
        </w:rPr>
        <w:t>NVISIA  |  Chicago, IL  |  2012 – 2017</w:t>
      </w:r>
    </w:p>
    <w:p xmlns:wp14="http://schemas.microsoft.com/office/word/2010/wordml" w14:paraId="12CAC10D" wp14:textId="77777777">
      <w:pPr>
        <w:spacing w:before="0" w:after="20"/>
      </w:pPr>
      <w:r>
        <w:rPr>
          <w:rFonts w:ascii="Calibri" w:hAnsi="Calibri"/>
          <w:i/>
          <w:sz w:val="21"/>
        </w:rPr>
        <w:t>Director, Data Architecture (promoted from Director 2015)</w:t>
      </w:r>
    </w:p>
    <w:p xmlns:wp14="http://schemas.microsoft.com/office/word/2010/wordml" w14:paraId="1A3B408D" wp14:textId="77777777">
      <w:pPr>
        <w:spacing w:before="0" w:after="40"/>
      </w:pPr>
      <w:r>
        <w:rPr>
          <w:rFonts w:ascii="Calibri" w:hAnsi="Calibri"/>
          <w:b w:val="0"/>
          <w:i w:val="0"/>
          <w:sz w:val="21"/>
        </w:rPr>
        <w:t>Created and led company's first Data Practice; full P&amp;L responsibility across healthcare, financial services, and manufacturing clients.</w:t>
      </w:r>
    </w:p>
    <w:p xmlns:wp14="http://schemas.microsoft.com/office/word/2010/wordml" w14:paraId="45A9BB4B" wp14:textId="77777777">
      <w:pPr>
        <w:pStyle w:val="ListBullet"/>
        <w:spacing w:before="0" w:after="20"/>
      </w:pPr>
      <w:r>
        <w:rPr>
          <w:rFonts w:ascii="Calibri" w:hAnsi="Calibri"/>
          <w:sz w:val="21"/>
        </w:rPr>
        <w:t>Established Data/Analytics practice and first Machine Learning service offering from scratch, growing to $3M with 40% profit margin; developed all marketing, sales, and delivery strategies</w:t>
      </w:r>
    </w:p>
    <w:p xmlns:wp14="http://schemas.microsoft.com/office/word/2010/wordml" w14:paraId="678F6150" wp14:textId="77777777">
      <w:pPr>
        <w:pStyle w:val="ListBullet"/>
        <w:spacing w:before="0" w:after="20"/>
      </w:pPr>
      <w:r>
        <w:rPr>
          <w:rFonts w:ascii="Calibri" w:hAnsi="Calibri"/>
          <w:sz w:val="21"/>
        </w:rPr>
        <w:t>Reduced engagement costs 15% through reusable assets and reference architectures; increased annual revenue $1.5M through effective service delivery and new capabilities</w:t>
      </w:r>
    </w:p>
    <w:p xmlns:wp14="http://schemas.microsoft.com/office/word/2010/wordml" w14:paraId="7329E65B" wp14:textId="77777777">
      <w:pPr>
        <w:spacing w:before="100" w:after="20"/>
      </w:pPr>
      <w:r>
        <w:rPr>
          <w:rFonts w:ascii="Calibri" w:hAnsi="Calibri"/>
          <w:b/>
          <w:sz w:val="21"/>
        </w:rPr>
        <w:t>PSC GROUP  |  Schaumburg, IL  |  2005 – 2012</w:t>
      </w:r>
    </w:p>
    <w:p xmlns:wp14="http://schemas.microsoft.com/office/word/2010/wordml" w:rsidP="52D88DB9" w14:paraId="0FD9271B" wp14:textId="429775B5">
      <w:pPr>
        <w:spacing w:before="0" w:after="20"/>
        <w:rPr>
          <w:rFonts w:ascii="Calibri" w:hAnsi="Calibri"/>
          <w:i w:val="1"/>
          <w:iCs w:val="1"/>
          <w:sz w:val="21"/>
          <w:szCs w:val="21"/>
        </w:rPr>
      </w:pPr>
      <w:r w:rsidRPr="52D88DB9" w:rsidR="52D88DB9">
        <w:rPr>
          <w:rFonts w:ascii="Calibri" w:hAnsi="Calibri"/>
          <w:i w:val="1"/>
          <w:iCs w:val="1"/>
          <w:sz w:val="21"/>
          <w:szCs w:val="21"/>
        </w:rPr>
        <w:t>Vice President, Architect</w:t>
      </w:r>
      <w:r w:rsidRPr="52D88DB9" w:rsidR="4C3DC393">
        <w:rPr>
          <w:rFonts w:ascii="Calibri" w:hAnsi="Calibri"/>
          <w:i w:val="1"/>
          <w:iCs w:val="1"/>
          <w:sz w:val="21"/>
          <w:szCs w:val="21"/>
        </w:rPr>
        <w:t>ure &amp; Application Development Practice Lead</w:t>
      </w:r>
    </w:p>
    <w:p xmlns:wp14="http://schemas.microsoft.com/office/word/2010/wordml" w14:paraId="39F52797" wp14:textId="77777777">
      <w:pPr>
        <w:pStyle w:val="ListBullet"/>
        <w:spacing w:before="0" w:after="20"/>
      </w:pPr>
      <w:r>
        <w:rPr>
          <w:rFonts w:ascii="Calibri" w:hAnsi="Calibri"/>
          <w:sz w:val="21"/>
        </w:rPr>
        <w:t>Launched Open-Source Application Development practice from zero to $2M, exceeding margin targets by 5% in first year; directed 4-year enterprise data management engagement at Global Futures Clearing Merchant — built canonical data models for financial instruments supporting worldwide front, middle, and back office operations</w:t>
      </w:r>
    </w:p>
    <w:p xmlns:wp14="http://schemas.microsoft.com/office/word/2010/wordml" w14:paraId="579765F3" wp14:textId="77777777">
      <w:pPr>
        <w:pStyle w:val="ListBullet"/>
        <w:spacing w:before="0" w:after="20"/>
      </w:pPr>
      <w:r>
        <w:rPr>
          <w:rFonts w:ascii="Calibri" w:hAnsi="Calibri"/>
          <w:sz w:val="21"/>
        </w:rPr>
        <w:t>Formalized coaching layer: developed "second tier of seniors" with dedicated time for professional development of mid-level and junior consultants, creating a sustainable talent pipeline</w:t>
      </w:r>
    </w:p>
    <w:p xmlns:wp14="http://schemas.microsoft.com/office/word/2010/wordml" w14:paraId="39ADB663" wp14:textId="77777777">
      <w:pPr>
        <w:spacing w:before="40" w:after="40"/>
      </w:pPr>
      <w:r>
        <w:rPr>
          <w:rFonts w:ascii="Calibri" w:hAnsi="Calibri"/>
          <w:b w:val="0"/>
          <w:i/>
          <w:sz w:val="19"/>
        </w:rPr>
        <w:t>CAREER NOTES: Previously Senior Technical Architect at HCSC (healthcare) and Senior Rules Engine Architect at Kemper Insurance — foundation in healthcare data and enterprise architecture.</w:t>
      </w:r>
    </w:p>
    <w:p xmlns:wp14="http://schemas.microsoft.com/office/word/2010/wordml" w:rsidP="52D88DB9" w14:paraId="60EBAE9E" wp14:textId="6D7B3CBE">
      <w:pPr>
        <w:pBdr>
          <w:bottom w:val="single" w:color="000000" w:sz="6" w:space="1"/>
        </w:pBdr>
        <w:spacing w:before="80" w:after="20"/>
        <w:pBdr>
          <w:bottom w:val="single" w:color="000000" w:sz="6" w:space="1"/>
        </w:pBdr>
        <w:rPr>
          <w:rFonts w:ascii="Calibri" w:hAnsi="Calibri"/>
          <w:b w:val="1"/>
          <w:bCs w:val="1"/>
          <w:sz w:val="23"/>
          <w:szCs w:val="23"/>
        </w:rPr>
      </w:pPr>
    </w:p>
    <w:p xmlns:wp14="http://schemas.microsoft.com/office/word/2010/wordml" w14:paraId="6A5E9F78" wp14:textId="47395125">
      <w:pPr>
        <w:spacing w:before="80" w:after="20"/>
        <w:pBdr>
          <w:bottom w:val="single" w:color="000000" w:sz="6" w:space="1"/>
        </w:pBdr>
      </w:pPr>
      <w:r>
        <w:br w:type="page"/>
      </w:r>
    </w:p>
    <w:p xmlns:wp14="http://schemas.microsoft.com/office/word/2010/wordml" w:rsidP="52D88DB9" w14:paraId="3EF73A0A" wp14:textId="1CB10638">
      <w:pPr>
        <w:pStyle w:val="Normal"/>
        <w:pBdr>
          <w:bottom w:val="single" w:color="000000" w:sz="6" w:space="1"/>
        </w:pBdr>
        <w:spacing w:before="80" w:after="20"/>
        <w:pBdr>
          <w:bottom w:val="single" w:color="000000" w:sz="6" w:space="1"/>
        </w:pBdr>
      </w:pPr>
      <w:r w:rsidRPr="52D88DB9" w:rsidR="52D88DB9">
        <w:rPr>
          <w:rFonts w:ascii="Calibri" w:hAnsi="Calibri"/>
          <w:b w:val="1"/>
          <w:bCs w:val="1"/>
          <w:sz w:val="23"/>
          <w:szCs w:val="23"/>
        </w:rPr>
        <w:t>AI INNOVATION &amp; CURRENT FOCUS</w:t>
      </w:r>
    </w:p>
    <w:p xmlns:wp14="http://schemas.microsoft.com/office/word/2010/wordml" w14:paraId="68D454BA" wp14:textId="77777777">
      <w:pPr>
        <w:spacing w:before="40" w:after="60"/>
      </w:pPr>
      <w:r w:rsidRPr="52D88DB9" w:rsidR="52D88DB9">
        <w:rPr>
          <w:rFonts w:ascii="Calibri" w:hAnsi="Calibri"/>
          <w:b w:val="0"/>
          <w:bCs w:val="0"/>
          <w:i w:val="0"/>
          <w:iCs w:val="0"/>
          <w:sz w:val="21"/>
          <w:szCs w:val="21"/>
        </w:rPr>
        <w:t>Building agentic AI platform integrating local GPU inference (vLLM), knowledge graphs (ArangoDB), multi-agent orchestration, and RAG pipelines — hands-on AI/ML solution architecture applied to real enterprise data governance workflows; continuously evaluating emerging AI frameworks for responsible AI and ethical AI design patterns.</w:t>
      </w:r>
    </w:p>
    <w:p w:rsidR="52D88DB9" w:rsidP="52D88DB9" w:rsidRDefault="52D88DB9" w14:paraId="58A9D1C9" w14:textId="2BF52E2A">
      <w:pPr>
        <w:pBdr>
          <w:bottom w:val="single" w:color="000000" w:sz="6" w:space="1"/>
        </w:pBdr>
        <w:spacing w:before="80" w:after="20"/>
        <w:rPr>
          <w:rFonts w:ascii="Calibri" w:hAnsi="Calibri"/>
          <w:b w:val="1"/>
          <w:bCs w:val="1"/>
          <w:sz w:val="23"/>
          <w:szCs w:val="23"/>
        </w:rPr>
      </w:pPr>
    </w:p>
    <w:p xmlns:wp14="http://schemas.microsoft.com/office/word/2010/wordml" w14:paraId="646D8C50" wp14:textId="77777777">
      <w:pPr>
        <w:spacing w:before="80" w:after="20"/>
        <w:pBdr>
          <w:bottom w:val="single" w:color="000000" w:sz="6" w:space="1"/>
        </w:pBdr>
      </w:pPr>
      <w:r>
        <w:rPr>
          <w:rFonts w:ascii="Calibri" w:hAnsi="Calibri"/>
          <w:b/>
          <w:sz w:val="23"/>
        </w:rPr>
        <w:t>EDUCATION &amp; PROFESSIONAL DEVELOPMENT</w:t>
      </w:r>
    </w:p>
    <w:p xmlns:wp14="http://schemas.microsoft.com/office/word/2010/wordml" w14:paraId="48EA0B77" wp14:textId="77777777">
      <w:pPr>
        <w:spacing w:before="40" w:after="20"/>
      </w:pPr>
      <w:r>
        <w:rPr>
          <w:rFonts w:ascii="Calibri" w:hAnsi="Calibri"/>
          <w:b w:val="0"/>
          <w:i w:val="0"/>
          <w:sz w:val="21"/>
        </w:rPr>
        <w:t>ME, Concurrent Design Management — Stevens Institute of Technology, Hoboken, NJ</w:t>
      </w:r>
    </w:p>
    <w:p xmlns:wp14="http://schemas.microsoft.com/office/word/2010/wordml" w14:paraId="0389B06F" wp14:textId="77777777">
      <w:pPr>
        <w:spacing w:before="0" w:after="20"/>
      </w:pPr>
      <w:r>
        <w:rPr>
          <w:rFonts w:ascii="Calibri" w:hAnsi="Calibri"/>
          <w:b w:val="0"/>
          <w:i w:val="0"/>
          <w:sz w:val="21"/>
        </w:rPr>
        <w:t>BS, Marine Engineering Systems — United States Merchant Marine Academy, Kings Point, NY</w:t>
      </w:r>
    </w:p>
    <w:p xmlns:wp14="http://schemas.microsoft.com/office/word/2010/wordml" w14:paraId="6330C00E" wp14:textId="77777777">
      <w:pPr>
        <w:spacing w:before="0" w:after="20"/>
      </w:pPr>
      <w:r w:rsidRPr="52D88DB9" w:rsidR="52D88DB9">
        <w:rPr>
          <w:rFonts w:ascii="Calibri" w:hAnsi="Calibri"/>
          <w:b w:val="0"/>
          <w:bCs w:val="0"/>
          <w:i w:val="0"/>
          <w:iCs w:val="0"/>
          <w:sz w:val="21"/>
          <w:szCs w:val="21"/>
        </w:rPr>
        <w:t>Essentials of Executive Leadership — Booth School of Management, University of Chicago</w:t>
      </w:r>
    </w:p>
    <w:p w:rsidR="52D88DB9" w:rsidP="52D88DB9" w:rsidRDefault="52D88DB9" w14:paraId="5A86A775" w14:textId="70771580">
      <w:pPr>
        <w:pBdr>
          <w:bottom w:val="single" w:color="000000" w:sz="6" w:space="1"/>
        </w:pBdr>
        <w:spacing w:before="80" w:after="20"/>
        <w:rPr>
          <w:rFonts w:ascii="Calibri" w:hAnsi="Calibri"/>
          <w:b w:val="1"/>
          <w:bCs w:val="1"/>
          <w:sz w:val="23"/>
          <w:szCs w:val="23"/>
        </w:rPr>
      </w:pPr>
    </w:p>
    <w:p xmlns:wp14="http://schemas.microsoft.com/office/word/2010/wordml" w14:paraId="6713B1BB" wp14:textId="77777777">
      <w:pPr>
        <w:spacing w:before="80" w:after="20"/>
        <w:pBdr>
          <w:bottom w:val="single" w:color="000000" w:sz="6" w:space="1"/>
        </w:pBdr>
      </w:pPr>
      <w:r w:rsidRPr="52D88DB9" w:rsidR="52D88DB9">
        <w:rPr>
          <w:rFonts w:ascii="Calibri" w:hAnsi="Calibri"/>
          <w:b w:val="1"/>
          <w:bCs w:val="1"/>
          <w:sz w:val="23"/>
          <w:szCs w:val="23"/>
        </w:rPr>
        <w:t>TECHNICAL SKILLS</w:t>
      </w:r>
    </w:p>
    <w:tbl>
      <w:tblPr>
        <w:tblStyle w:val="TableGrid"/>
        <w:bidiVisual w:val="0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ook w:val="0400" w:firstRow="0" w:lastRow="0" w:firstColumn="0" w:lastColumn="0" w:noHBand="0" w:noVBand="1"/>
      </w:tblPr>
      <w:tblGrid>
        <w:gridCol w:w="2325"/>
        <w:gridCol w:w="7890"/>
      </w:tblGrid>
      <w:tr w:rsidR="52D88DB9" w:rsidTr="52D88DB9" w14:paraId="347E6FBE">
        <w:trPr>
          <w:trHeight w:val="300"/>
        </w:trPr>
        <w:tc>
          <w:tcPr>
            <w:tcW w:w="2325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:rsidR="52D88DB9" w:rsidRDefault="52D88DB9" w14:paraId="13B1B424" w14:textId="180D68DA">
            <w:r w:rsidRPr="52D88DB9" w:rsidR="52D88DB9">
              <w:rPr>
                <w:b w:val="0"/>
                <w:bCs w:val="0"/>
                <w:sz w:val="22"/>
                <w:szCs w:val="22"/>
              </w:rPr>
              <w:t>Platforms &amp; Cloud</w:t>
            </w:r>
          </w:p>
        </w:tc>
        <w:tc>
          <w:tcPr>
            <w:tcW w:w="789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:rsidR="52D88DB9" w:rsidRDefault="52D88DB9" w14:paraId="3D43E066" w14:textId="7E63950B">
            <w:r w:rsidRPr="52D88DB9" w:rsidR="52D88DB9">
              <w:rPr>
                <w:b w:val="0"/>
                <w:bCs w:val="0"/>
                <w:sz w:val="22"/>
                <w:szCs w:val="22"/>
              </w:rPr>
              <w:t>Azure (Data Factory, Synapse, Event Hub, Data Lake, Data Catalog), AWS (Glue, Lambda, S3, Redshift, SageMaker, CDK), GCP</w:t>
            </w:r>
          </w:p>
        </w:tc>
      </w:tr>
      <w:tr w:rsidR="52D88DB9" w:rsidTr="52D88DB9" w14:paraId="7240B7F3">
        <w:trPr>
          <w:trHeight w:val="300"/>
        </w:trPr>
        <w:tc>
          <w:tcPr>
            <w:tcW w:w="2325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:rsidR="52D88DB9" w:rsidRDefault="52D88DB9" w14:paraId="440F3114" w14:textId="5CC51939">
            <w:r w:rsidRPr="52D88DB9" w:rsidR="52D88DB9">
              <w:rPr>
                <w:b w:val="0"/>
                <w:bCs w:val="0"/>
                <w:sz w:val="22"/>
                <w:szCs w:val="22"/>
              </w:rPr>
              <w:t>Data &amp; Integration</w:t>
            </w:r>
          </w:p>
        </w:tc>
        <w:tc>
          <w:tcPr>
            <w:tcW w:w="789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:rsidR="52D88DB9" w:rsidRDefault="52D88DB9" w14:paraId="1101BAD7" w14:textId="038DB997">
            <w:r w:rsidRPr="52D88DB9" w:rsidR="52D88DB9">
              <w:rPr>
                <w:b w:val="0"/>
                <w:bCs w:val="0"/>
                <w:sz w:val="22"/>
                <w:szCs w:val="22"/>
              </w:rPr>
              <w:t>Databricks, Spark, Airflow, Datastage, Informatica, MuleSoft ESB, Tibco, SSIS, ODI, Talend</w:t>
            </w:r>
          </w:p>
        </w:tc>
      </w:tr>
      <w:tr w:rsidR="52D88DB9" w:rsidTr="52D88DB9" w14:paraId="041FB781">
        <w:trPr>
          <w:trHeight w:val="300"/>
        </w:trPr>
        <w:tc>
          <w:tcPr>
            <w:tcW w:w="2325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:rsidR="52D88DB9" w:rsidRDefault="52D88DB9" w14:paraId="26B52037" w14:textId="57BBBB9E">
            <w:r w:rsidRPr="52D88DB9" w:rsidR="52D88DB9">
              <w:rPr>
                <w:b w:val="0"/>
                <w:bCs w:val="0"/>
                <w:sz w:val="22"/>
                <w:szCs w:val="22"/>
              </w:rPr>
              <w:t>Databases</w:t>
            </w:r>
          </w:p>
        </w:tc>
        <w:tc>
          <w:tcPr>
            <w:tcW w:w="789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:rsidR="52D88DB9" w:rsidRDefault="52D88DB9" w14:paraId="1676F64D" w14:textId="097026C0">
            <w:r w:rsidRPr="52D88DB9" w:rsidR="52D88DB9">
              <w:rPr>
                <w:b w:val="0"/>
                <w:bCs w:val="0"/>
                <w:sz w:val="22"/>
                <w:szCs w:val="22"/>
              </w:rPr>
              <w:t>SQL Server, PostgreSQL, Oracle, DB2, Teradata, Hadoop, DynamoDB, Apache Iceberg, Apache Ignite</w:t>
            </w:r>
          </w:p>
        </w:tc>
      </w:tr>
      <w:tr w:rsidR="52D88DB9" w:rsidTr="52D88DB9" w14:paraId="33B06239">
        <w:trPr>
          <w:trHeight w:val="300"/>
        </w:trPr>
        <w:tc>
          <w:tcPr>
            <w:tcW w:w="2325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:rsidR="52D88DB9" w:rsidRDefault="52D88DB9" w14:paraId="4367094B" w14:textId="7A0C61B7">
            <w:r w:rsidRPr="52D88DB9" w:rsidR="52D88DB9">
              <w:rPr>
                <w:b w:val="0"/>
                <w:bCs w:val="0"/>
                <w:sz w:val="22"/>
                <w:szCs w:val="22"/>
              </w:rPr>
              <w:t>Languages &amp; Tools</w:t>
            </w:r>
          </w:p>
        </w:tc>
        <w:tc>
          <w:tcPr>
            <w:tcW w:w="789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:rsidR="52D88DB9" w:rsidRDefault="52D88DB9" w14:paraId="3FF3DD20" w14:textId="4F65FF02">
            <w:r w:rsidRPr="52D88DB9" w:rsidR="52D88DB9">
              <w:rPr>
                <w:b w:val="0"/>
                <w:bCs w:val="0"/>
                <w:sz w:val="22"/>
                <w:szCs w:val="22"/>
              </w:rPr>
              <w:t>Python, SQL, Java, NoSQL, UML, MS Power BI, Tableau</w:t>
            </w:r>
          </w:p>
        </w:tc>
      </w:tr>
      <w:tr w:rsidR="52D88DB9" w:rsidTr="52D88DB9" w14:paraId="69B8881A">
        <w:trPr>
          <w:trHeight w:val="300"/>
        </w:trPr>
        <w:tc>
          <w:tcPr>
            <w:tcW w:w="2325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:rsidR="52D88DB9" w:rsidRDefault="52D88DB9" w14:paraId="0EACA8B7" w14:textId="4A435767">
            <w:r w:rsidRPr="52D88DB9" w:rsidR="52D88DB9">
              <w:rPr>
                <w:b w:val="0"/>
                <w:bCs w:val="0"/>
                <w:sz w:val="22"/>
                <w:szCs w:val="22"/>
              </w:rPr>
              <w:t>Architecture</w:t>
            </w:r>
          </w:p>
        </w:tc>
        <w:tc>
          <w:tcPr>
            <w:tcW w:w="789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:rsidR="52D88DB9" w:rsidRDefault="52D88DB9" w14:paraId="3E164724" w14:textId="01120D1F">
            <w:r w:rsidRPr="52D88DB9" w:rsidR="52D88DB9">
              <w:rPr>
                <w:b w:val="0"/>
                <w:bCs w:val="0"/>
                <w:sz w:val="22"/>
                <w:szCs w:val="22"/>
              </w:rPr>
              <w:t>Event-driven, pub/sub, CQRS, microservices, DSL/configuration-driven, canonical data models, data mesh, data products</w:t>
            </w:r>
          </w:p>
        </w:tc>
      </w:tr>
      <w:tr w:rsidR="52D88DB9" w:rsidTr="52D88DB9" w14:paraId="202231D0">
        <w:trPr>
          <w:trHeight w:val="300"/>
        </w:trPr>
        <w:tc>
          <w:tcPr>
            <w:tcW w:w="2325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:rsidR="52D88DB9" w:rsidRDefault="52D88DB9" w14:paraId="225A679D" w14:textId="342DC8A4">
            <w:r w:rsidRPr="52D88DB9" w:rsidR="52D88DB9">
              <w:rPr>
                <w:b w:val="0"/>
                <w:bCs w:val="0"/>
                <w:sz w:val="22"/>
                <w:szCs w:val="22"/>
              </w:rPr>
              <w:t>AI &amp; ML</w:t>
            </w:r>
          </w:p>
        </w:tc>
        <w:tc>
          <w:tcPr>
            <w:tcW w:w="789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:rsidR="52D88DB9" w:rsidRDefault="52D88DB9" w14:paraId="33276A53" w14:textId="397E7133">
            <w:r w:rsidRPr="52D88DB9" w:rsidR="52D88DB9">
              <w:rPr>
                <w:b w:val="0"/>
                <w:bCs w:val="0"/>
                <w:sz w:val="22"/>
                <w:szCs w:val="22"/>
              </w:rPr>
              <w:t>Agentic AI orchestration, multi-agent systems, RAG pipelines, LLM orchestration, prompt engineering, MCP integration, knowledge graphs (ArangoDB), vector databases, vLLM</w:t>
            </w:r>
          </w:p>
        </w:tc>
      </w:tr>
      <w:tr w:rsidR="52D88DB9" w:rsidTr="52D88DB9" w14:paraId="439D1DB3">
        <w:trPr>
          <w:trHeight w:val="300"/>
        </w:trPr>
        <w:tc>
          <w:tcPr>
            <w:tcW w:w="2325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:rsidR="52D88DB9" w:rsidRDefault="52D88DB9" w14:paraId="3E4B1566" w14:textId="0590C81A">
            <w:r w:rsidRPr="52D88DB9" w:rsidR="52D88DB9">
              <w:rPr>
                <w:b w:val="0"/>
                <w:bCs w:val="0"/>
                <w:sz w:val="22"/>
                <w:szCs w:val="22"/>
              </w:rPr>
              <w:t>Leadership</w:t>
            </w:r>
          </w:p>
        </w:tc>
        <w:tc>
          <w:tcPr>
            <w:tcW w:w="789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:rsidR="52D88DB9" w:rsidRDefault="52D88DB9" w14:paraId="433BF83F" w14:textId="43E17283">
            <w:r w:rsidRPr="52D88DB9" w:rsidR="52D88DB9">
              <w:rPr>
                <w:b w:val="0"/>
                <w:bCs w:val="0"/>
                <w:sz w:val="22"/>
                <w:szCs w:val="22"/>
              </w:rPr>
              <w:t>Servant-leadership, player-coach, practice building, cross-functional alignment, executive communication, stakeholder management</w:t>
            </w:r>
          </w:p>
        </w:tc>
      </w:tr>
    </w:tbl>
    <w:p w:rsidR="52D88DB9" w:rsidRDefault="52D88DB9" w14:paraId="6ECDB2C5" w14:textId="4F01DE7B"/>
    <w:p xmlns:wp14="http://schemas.microsoft.com/office/word/2010/wordml" w14:paraId="2EDD128B" wp14:textId="77777777">
      <w:pPr>
        <w:spacing w:before="80" w:after="20"/>
        <w:pBdr>
          <w:bottom w:val="single" w:color="000000" w:sz="6" w:space="1"/>
        </w:pBdr>
      </w:pPr>
      <w:r>
        <w:rPr>
          <w:rFonts w:ascii="Calibri" w:hAnsi="Calibri"/>
          <w:b/>
          <w:sz w:val="23"/>
        </w:rPr>
        <w:t>ADDITIONAL INFORMATION</w:t>
      </w:r>
    </w:p>
    <w:p xmlns:wp14="http://schemas.microsoft.com/office/word/2010/wordml" w14:paraId="3654C341" wp14:textId="77777777">
      <w:pPr>
        <w:spacing w:before="40" w:after="0"/>
      </w:pPr>
      <w:r>
        <w:rPr>
          <w:rFonts w:ascii="Calibri" w:hAnsi="Calibri"/>
          <w:b w:val="0"/>
          <w:i w:val="0"/>
          <w:sz w:val="21"/>
        </w:rPr>
        <w:t>Military: Merchant Marine Engineering Officer, US Navy Reserve  |  Community: 15+ years mentoring 100+ NROTC students as Volunteer Marine Engineer for MANATRA</w:t>
      </w:r>
    </w:p>
    <w:sectPr w:rsidRPr="0006063C" w:rsidR="00FC693F" w:rsidSect="00034616">
      <w:pgSz w:w="12240" w:h="15840" w:orient="portrait"/>
      <w:pgMar w:top="864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AA259C"/>
    <w:rsid w:val="04AA259C"/>
    <w:rsid w:val="0D21B8FC"/>
    <w:rsid w:val="17BEEBC9"/>
    <w:rsid w:val="2A32EA94"/>
    <w:rsid w:val="357DC12C"/>
    <w:rsid w:val="3B9F6E7C"/>
    <w:rsid w:val="3D3FA061"/>
    <w:rsid w:val="43FB9334"/>
    <w:rsid w:val="4C3DC393"/>
    <w:rsid w:val="4FBDDA3D"/>
    <w:rsid w:val="52D88DB9"/>
    <w:rsid w:val="56AB2DB9"/>
    <w:rsid w:val="58FC8EDD"/>
    <w:rsid w:val="63D5614F"/>
    <w:rsid w:val="63D56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8A97F6A6-AFC3-4DDA-ADFC-E01938D1B78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Michael Vogt</lastModifiedBy>
  <revision>2</revision>
  <dcterms:created xsi:type="dcterms:W3CDTF">2013-12-23T23:15:00.0000000Z</dcterms:created>
  <dcterms:modified xsi:type="dcterms:W3CDTF">2026-04-23T01:48:57.1780321Z</dcterms:modified>
  <category/>
</coreProperties>
</file>