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A5C"/>
          <w:sz w:val="44"/>
        </w:rPr>
        <w:t>MICHAEL VOGT</w:t>
      </w:r>
    </w:p>
    <w:p>
      <w:pPr>
        <w:spacing w:after="40"/>
        <w:jc w:val="center"/>
      </w:pPr>
      <w:r>
        <w:rPr>
          <w:color w:val="6B7280"/>
          <w:sz w:val="19"/>
        </w:rPr>
        <w:t>Sugar Grove, IL  •  312-772-4762  •  mvogt99@gmail.com  •  linkedin.com/in/mike-vogt-analytics</w:t>
      </w:r>
    </w:p>
    <w:p>
      <w:pPr>
        <w:spacing w:after="80"/>
        <w:jc w:val="center"/>
      </w:pPr>
      <w:r>
        <w:rPr>
          <w:color w:val="2E74B5"/>
          <w:sz w:val="20"/>
        </w:rPr>
        <w:t>Data Platform &amp; AI Architect | Healthcare, PBM &amp; Regulated Industries | Canonical Data Models | AWS, Azure, GCP | Grower of Teams &amp; Servant-Leader</w:t>
      </w:r>
    </w:p>
    <w:p>
      <w:pPr>
        <w:spacing w:before="80" w:after="40"/>
        <w:pBdr>
          <w:bottom w:val="single" w:sz="6" w:space="1" w:color="1B3A5C"/>
        </w:pBdr>
      </w:pPr>
    </w:p>
    <w:p>
      <w:pPr>
        <w:spacing w:before="40" w:after="80"/>
      </w:pPr>
      <w:r>
        <w:rPr>
          <w:b/>
          <w:color w:val="1B3A5C"/>
          <w:sz w:val="20"/>
        </w:rPr>
        <w:t>PROFESSIONAL SUMMARY</w:t>
      </w:r>
    </w:p>
    <w:p>
      <w:pPr>
        <w:spacing w:before="20" w:after="60"/>
      </w:pPr>
      <w:r>
        <w:rPr>
          <w:sz w:val="20"/>
        </w:rPr>
        <w:t>Data Platform &amp; AI Architect with 20+ years designing cloud-native, event-driven platforms across AWS, Azure, and GCP for healthcare, regulated, and enterprise environments. Deep expertise in canonical data models, governed data products, PBM/claims/eligibility, agentic AI architecture, and knowledge graph design. Proven practice-builder — grew three practices from zero ($4.5M, $3M, $2M) while coaching 40+ professionals into senior roles. Combines hands-on technical depth with executive leadership: teams leave every engagement capable of owning and extending the platform independently.</w:t>
      </w:r>
    </w:p>
    <w:p>
      <w:pPr>
        <w:spacing w:before="80" w:after="40"/>
        <w:pBdr>
          <w:bottom w:val="single" w:sz="6" w:space="1" w:color="1B3A5C"/>
        </w:pBdr>
      </w:pPr>
    </w:p>
    <w:p>
      <w:pPr>
        <w:spacing w:before="40" w:after="80"/>
      </w:pPr>
      <w:r>
        <w:rPr>
          <w:b/>
          <w:color w:val="1B3A5C"/>
          <w:sz w:val="20"/>
        </w:rPr>
        <w:t>CORE COMPETENCIES</w:t>
      </w:r>
    </w:p>
    <w:p>
      <w:pPr>
        <w:spacing w:after="40"/>
      </w:pPr>
      <w:r>
        <w:rPr>
          <w:sz w:val="20"/>
        </w:rPr>
        <w:t>Data Platform Architecture  •  Agentic AI Architecture  •  Canonical Data Models  •  Healthcare Data (PBM / Claims / HIPAA)  •  Event-Driven Architecture  •  Configuration-Driven Platforms  •  Knowledge Graph Design  •  Data Governance  •  Cloud-Native (AWS · Azure · GCP)  •  Practice Building  •  Servant-Leadership  •  Cross-Functional Team Leadership  •  DataOps / Data Quality</w:t>
      </w:r>
    </w:p>
    <w:p>
      <w:pPr>
        <w:spacing w:before="80" w:after="40"/>
        <w:pBdr>
          <w:bottom w:val="single" w:sz="6" w:space="1" w:color="1B3A5C"/>
        </w:pBdr>
      </w:pPr>
    </w:p>
    <w:p>
      <w:pPr>
        <w:spacing w:before="40" w:after="80"/>
      </w:pPr>
      <w:r>
        <w:rPr>
          <w:b/>
          <w:color w:val="1B3A5C"/>
          <w:sz w:val="20"/>
        </w:rPr>
        <w:t>PROFESSIONAL EXPERIENCE</w:t>
      </w:r>
    </w:p>
    <w:p>
      <w:pPr>
        <w:spacing w:before="140" w:after="0"/>
      </w:pPr>
      <w:r>
        <w:rPr>
          <w:b/>
          <w:color w:val="1B3A5C"/>
          <w:sz w:val="22"/>
        </w:rPr>
        <w:t xml:space="preserve">Principal Technical Consultant  —  </w:t>
      </w:r>
      <w:r>
        <w:rPr>
          <w:b/>
          <w:color w:val="2E74B5"/>
          <w:sz w:val="22"/>
        </w:rPr>
        <w:t>AHEAD</w:t>
      </w:r>
    </w:p>
    <w:p>
      <w:pPr>
        <w:spacing w:before="0" w:after="60"/>
      </w:pPr>
      <w:r>
        <w:rPr>
          <w:color w:val="6B7280"/>
          <w:sz w:val="18"/>
        </w:rPr>
        <w:t>Chicago, IL  |  Sep 2023 – Present</w:t>
      </w:r>
    </w:p>
    <w:p>
      <w:pPr>
        <w:spacing w:before="20" w:after="60"/>
      </w:pPr>
      <w:r>
        <w:rPr>
          <w:sz w:val="20"/>
        </w:rPr>
        <w:t>Lead architect designing AI-driven, cloud-native data platforms for two healthcare clients — a PBM data platform on AWS (claims processing, eligibility, pharmacy benefit management) and a healthcare provider platform on Azure. Integrating agentic AI and intelligent orchestration into platform architecture alongside canonical data models and event-driven design.</w:t>
      </w:r>
    </w:p>
    <w:p>
      <w:pPr>
        <w:spacing w:before="80" w:after="20"/>
      </w:pPr>
      <w:r>
        <w:rPr>
          <w:b/>
          <w:sz w:val="20"/>
        </w:rPr>
        <w:t>KEY CONTRIBUTIONS:</w:t>
      </w:r>
    </w:p>
    <w:p>
      <w:pPr>
        <w:pStyle w:val="ListBullet"/>
        <w:spacing w:before="20" w:after="20"/>
      </w:pPr>
      <w:r>
        <w:rPr>
          <w:sz w:val="20"/>
        </w:rPr>
        <w:t>Architected healthcare data platforms using canonical data models that abstract source system complexity into trusted, domain-based data products serving clinical and operational consumers</w:t>
      </w:r>
    </w:p>
    <w:p>
      <w:pPr>
        <w:pStyle w:val="ListBullet"/>
        <w:spacing w:before="20" w:after="20"/>
      </w:pPr>
      <w:r>
        <w:rPr>
          <w:sz w:val="20"/>
        </w:rPr>
        <w:t>Designed agentic AI components into the platform architecture — automated data quality validation, intelligent ingestion orchestration, and compliance monitoring as first-class architectural services rather than bolt-on tooling</w:t>
      </w:r>
    </w:p>
    <w:p>
      <w:pPr>
        <w:pStyle w:val="ListBullet"/>
        <w:spacing w:before="20" w:after="20"/>
      </w:pPr>
      <w:r>
        <w:rPr>
          <w:sz w:val="20"/>
        </w:rPr>
        <w:t>Introduced shared decomposition vocabulary — canonical data models, core data products, use-case data products, producers, consumers, consumables — that unified cross-functional teams across engineering, architecture, product, and business/IT leadership</w:t>
      </w:r>
    </w:p>
    <w:p>
      <w:pPr>
        <w:pStyle w:val="ListBullet"/>
        <w:spacing w:before="20" w:after="20"/>
      </w:pPr>
      <w:r>
        <w:rPr>
          <w:sz w:val="20"/>
        </w:rPr>
        <w:t>Designed configuration-driven, DSL-based ingestion architecture enabling rapid onboarding of new healthcare data sources without custom ETL code</w:t>
      </w:r>
    </w:p>
    <w:p>
      <w:pPr>
        <w:pStyle w:val="ListBullet"/>
        <w:spacing w:before="20" w:after="20"/>
      </w:pPr>
      <w:r>
        <w:rPr>
          <w:sz w:val="20"/>
        </w:rPr>
        <w:t>Coached data engineers on design thinking and architectural trade-offs, transitioning team from ad-hoc problem solving to repeatable, consistent work products</w:t>
      </w:r>
    </w:p>
    <w:p>
      <w:pPr>
        <w:pStyle w:val="ListBullet"/>
        <w:spacing w:before="20" w:after="20"/>
      </w:pPr>
      <w:r>
        <w:rPr>
          <w:sz w:val="20"/>
        </w:rPr>
        <w:t>Operationalized platforms with client teams for independent ownership and extension to new use cases</w:t>
      </w:r>
    </w:p>
    <w:p>
      <w:pPr>
        <w:spacing w:before="140" w:after="0"/>
      </w:pPr>
      <w:r>
        <w:rPr>
          <w:b/>
          <w:color w:val="1B3A5C"/>
          <w:sz w:val="22"/>
        </w:rPr>
        <w:t xml:space="preserve">Independent AI Architecture &amp; Research  —  </w:t>
      </w:r>
      <w:r>
        <w:rPr>
          <w:b/>
          <w:color w:val="2E74B5"/>
          <w:sz w:val="22"/>
        </w:rPr>
        <w:t>Independent</w:t>
      </w:r>
    </w:p>
    <w:p>
      <w:pPr>
        <w:spacing w:before="0" w:after="60"/>
      </w:pPr>
      <w:r>
        <w:rPr>
          <w:color w:val="6B7280"/>
          <w:sz w:val="18"/>
        </w:rPr>
        <w:t>Greater Chicago Area  |  Jan 2025 – Present</w:t>
      </w:r>
    </w:p>
    <w:p>
      <w:pPr>
        <w:spacing w:before="20" w:after="60"/>
      </w:pPr>
      <w:r>
        <w:rPr>
          <w:sz w:val="20"/>
        </w:rPr>
        <w:t>Designing and building a multi-component AI architecture that applies agentic AI, knowledge graph grounding, and local GPU inference to enterprise workflow automation — an intentional evolution from data platform architecture into AI-native system design.</w:t>
      </w:r>
    </w:p>
    <w:p>
      <w:pPr>
        <w:spacing w:before="80" w:after="20"/>
      </w:pPr>
      <w:r>
        <w:rPr>
          <w:b/>
          <w:sz w:val="20"/>
        </w:rPr>
        <w:t>KEY CONTRIBUTIONS:</w:t>
      </w:r>
    </w:p>
    <w:p>
      <w:pPr>
        <w:pStyle w:val="ListBullet"/>
        <w:spacing w:before="20" w:after="20"/>
      </w:pPr>
      <w:r>
        <w:rPr>
          <w:sz w:val="20"/>
        </w:rPr>
        <w:t>Architected multi-agent orchestration system with specialized AI agents — architect, tester, security engineer, editor — each with defined responsibilities, background job management, audit trails, and quality-scored handoffs</w:t>
      </w:r>
    </w:p>
    <w:p>
      <w:pPr>
        <w:pStyle w:val="ListBullet"/>
        <w:spacing w:before="20" w:after="20"/>
      </w:pPr>
      <w:r>
        <w:rPr>
          <w:sz w:val="20"/>
        </w:rPr>
        <w:t>Designed quality assurance harness scoring every AI-generated output on faithfulness, truthfulness, accuracy, and latency — governance-first approach where AI outputs require proof before reaching production</w:t>
      </w:r>
    </w:p>
    <w:p>
      <w:pPr>
        <w:pStyle w:val="ListBullet"/>
        <w:spacing w:before="20" w:after="20"/>
      </w:pPr>
      <w:r>
        <w:rPr>
          <w:sz w:val="20"/>
        </w:rPr>
        <w:t>Built knowledge graph architecture fusing structured domain data with vector-based semantic search (RAG), enabling cross-domain context enrichment across projects, technologies, and knowledge</w:t>
      </w:r>
    </w:p>
    <w:p>
      <w:pPr>
        <w:pStyle w:val="ListBullet"/>
        <w:spacing w:before="20" w:after="20"/>
      </w:pPr>
      <w:r>
        <w:rPr>
          <w:sz w:val="20"/>
        </w:rPr>
        <w:t>Implemented cost-optimized inference architecture: local GPU as primary (30B parameter models), cloud AI as governed fallback — near-zero inference cost with maintained quality gates</w:t>
      </w:r>
    </w:p>
    <w:p>
      <w:pPr>
        <w:pStyle w:val="ListBullet"/>
        <w:spacing w:before="20" w:after="20"/>
      </w:pPr>
      <w:r>
        <w:rPr>
          <w:sz w:val="20"/>
        </w:rPr>
        <w:t>Designed flow orchestration engine with YAML-defined step DAGs, context persistence, and multi-model routing — enabling complex multi-step AI workflows with deterministic governance</w:t>
      </w:r>
    </w:p>
    <w:p>
      <w:pPr>
        <w:pStyle w:val="ListBullet"/>
        <w:spacing w:before="20" w:after="20"/>
      </w:pPr>
      <w:r>
        <w:rPr>
          <w:sz w:val="20"/>
        </w:rPr>
        <w:t>Applied agentic governance patterns — architectural rules as code, indexed in semantic search, enforced via automation</w:t>
      </w:r>
    </w:p>
    <w:p>
      <w:pPr>
        <w:spacing w:before="140" w:after="0"/>
      </w:pPr>
      <w:r>
        <w:rPr>
          <w:b/>
          <w:color w:val="1B3A5C"/>
          <w:sz w:val="22"/>
        </w:rPr>
        <w:t xml:space="preserve">Director, Advisory, Data Architecture  —  </w:t>
      </w:r>
      <w:r>
        <w:rPr>
          <w:b/>
          <w:color w:val="2E74B5"/>
          <w:sz w:val="22"/>
        </w:rPr>
        <w:t>PwC</w:t>
      </w:r>
    </w:p>
    <w:p>
      <w:pPr>
        <w:spacing w:before="0" w:after="60"/>
      </w:pPr>
      <w:r>
        <w:rPr>
          <w:color w:val="6B7280"/>
          <w:sz w:val="18"/>
        </w:rPr>
        <w:t>Chicago, IL  |  Apr 2020 – Jun 2023</w:t>
      </w:r>
    </w:p>
    <w:p>
      <w:pPr>
        <w:spacing w:before="80" w:after="20"/>
      </w:pPr>
      <w:r>
        <w:rPr>
          <w:b/>
          <w:sz w:val="20"/>
        </w:rPr>
        <w:t>Chief architect and technical lead directing Data as a Product capability. Led design, engineering, and delivery of enterprise cloud-native data platforms across healthcare, consumer markets, and supply chain verticals. Managed distributed global team of 50+ (onshore and offshore) with $5M+ budget — without direct line authority over many team members. KEY ACCOMPLISHMENTS: • Designed configuration-driven, event-driven data platform for global consumer markets client on Azure, subsequently productized across Azure, AWS, and GCP — unified hyperscaler-agnostic architecture with shared DSL configurations, canonical data models, and pre-built mappings from ERP (SAP HANA, Oracle Fusion), CRM (Salesforce), and third-party sources into source-agnostic canonical models • Led platform build for water distribution company navigating post-acquisition TSA exit — diagnosed heterogeneous source landscape and drove consensus on open Azure-native architecture with supply chain CDMs over vendor-locked approach • Established DataOps capability with TDD and expectation-based validation built directly into platform pipelines • Coached junior offshore engineer from task implementer to client-facing design conversation leader through progressive engagement; client team launched new use case independently post-engagement • Presented unified platform architecture case to partners and senior managers — architecture remained unified across hyperscalers, shaping how the platform was built and marketed firm-wide • Resolved executive misalignment on data quality expectations (MVP vs. production-level) in real time, achieving consensus with client enablement path</w:t>
      </w:r>
    </w:p>
    <w:p>
      <w:pPr>
        <w:spacing w:before="140" w:after="0"/>
      </w:pPr>
      <w:r>
        <w:rPr>
          <w:b/>
          <w:color w:val="1B3A5C"/>
          <w:sz w:val="22"/>
        </w:rPr>
        <w:t xml:space="preserve">Senior Manager  —  </w:t>
      </w:r>
      <w:r>
        <w:rPr>
          <w:b/>
          <w:color w:val="2E74B5"/>
          <w:sz w:val="22"/>
        </w:rPr>
        <w:t>Capgemini (Sogeti)</w:t>
      </w:r>
    </w:p>
    <w:p>
      <w:pPr>
        <w:spacing w:before="0" w:after="60"/>
      </w:pPr>
      <w:r>
        <w:rPr>
          <w:color w:val="6B7280"/>
          <w:sz w:val="18"/>
        </w:rPr>
        <w:t>Westchester, IL  |  Jan 2017 – Dec 2017</w:t>
      </w:r>
    </w:p>
    <w:p>
      <w:pPr>
        <w:spacing w:before="20" w:after="60"/>
      </w:pPr>
      <w:r>
        <w:rPr>
          <w:sz w:val="20"/>
        </w:rPr>
        <w:t>Directed planning and execution of innovative technology solutions for global consulting firm. Engagement leadership with budgets up to $4M.</w:t>
      </w:r>
    </w:p>
    <w:p>
      <w:pPr>
        <w:spacing w:before="80" w:after="20"/>
      </w:pPr>
      <w:r>
        <w:rPr>
          <w:b/>
          <w:sz w:val="20"/>
        </w:rPr>
        <w:t>KEY ACCOMPLISHMENTS:</w:t>
      </w:r>
    </w:p>
    <w:p>
      <w:pPr>
        <w:pStyle w:val="ListBullet"/>
        <w:spacing w:before="20" w:after="20"/>
      </w:pPr>
      <w:r>
        <w:rPr>
          <w:sz w:val="20"/>
        </w:rPr>
        <w:t>Modernized enterprise data integration platform from on-premises to Azure for large beverage company — cloud-agnostic, open-source architecture with Azure Blob Storage and Azure Data Warehouse</w:t>
      </w:r>
    </w:p>
    <w:p>
      <w:pPr>
        <w:pStyle w:val="ListBullet"/>
        <w:spacing w:before="20" w:after="20"/>
      </w:pPr>
      <w:r>
        <w:rPr>
          <w:sz w:val="20"/>
        </w:rPr>
        <w:t>Led all infrastructure, development, architecting, networking, and security for full platform delivery</w:t>
      </w:r>
    </w:p>
    <w:p>
      <w:pPr>
        <w:pStyle w:val="ListBullet"/>
        <w:spacing w:before="20" w:after="20"/>
      </w:pPr>
      <w:r>
        <w:rPr>
          <w:sz w:val="20"/>
        </w:rPr>
        <w:t>Managed cross-functional onshore/offshore teams as player-coach — sharing knowledge while growing individual capabilities and removing technical and political roadblocks for the team</w:t>
      </w:r>
    </w:p>
    <w:p>
      <w:pPr>
        <w:spacing w:before="140" w:after="0"/>
      </w:pPr>
      <w:r>
        <w:rPr>
          <w:b/>
          <w:color w:val="1B3A5C"/>
          <w:sz w:val="22"/>
        </w:rPr>
        <w:t xml:space="preserve">Executive Director - Data, Analytics and Machine Learning  —  </w:t>
      </w:r>
      <w:r>
        <w:rPr>
          <w:b/>
          <w:color w:val="2E74B5"/>
          <w:sz w:val="22"/>
        </w:rPr>
        <w:t>SPR</w:t>
      </w:r>
    </w:p>
    <w:p>
      <w:pPr>
        <w:spacing w:before="0" w:after="60"/>
      </w:pPr>
      <w:r>
        <w:rPr>
          <w:color w:val="6B7280"/>
          <w:sz w:val="18"/>
        </w:rPr>
        <w:t>Greater Chicago Area  |  Jan 2018 – Apr 2020</w:t>
      </w:r>
    </w:p>
    <w:p>
      <w:pPr>
        <w:spacing w:before="80" w:after="20"/>
      </w:pPr>
      <w:r>
        <w:rPr>
          <w:b/>
          <w:sz w:val="20"/>
        </w:rPr>
        <w:t>Built and led data and analytics practice. Full P&amp;L, HR, and client satisfaction responsibility. KEY ACCOMPLISHMENTS: • Grew practice from zero to $4.5M revenue in under 3 years, tripling headcount — actively developing data engineers with no cloud experience into consultants leading client engagements on Azure and AWS • Increased practice profitability 40% and capacity 300% in less than 1 year through modern technology adoption • Lowered client startup costs 40% by creating Cloud Data Platform Accelerator based on reusable data modernization patterns • Delivered first event-driven cloud data platforms in the practice — Azure for global professional services firm, AWS for emerging marketing technology client • Enhanced retention by creating new career paths emphasizing training and certifications, reducing subcontractor reliance</w:t>
      </w:r>
    </w:p>
    <w:p>
      <w:pPr>
        <w:spacing w:before="140" w:after="0"/>
      </w:pPr>
      <w:r>
        <w:rPr>
          <w:b/>
          <w:color w:val="1B3A5C"/>
          <w:sz w:val="22"/>
        </w:rPr>
        <w:t xml:space="preserve">Director, Data Architecture Management  —  </w:t>
      </w:r>
      <w:r>
        <w:rPr>
          <w:b/>
          <w:color w:val="2E74B5"/>
          <w:sz w:val="22"/>
        </w:rPr>
        <w:t>NVISIA</w:t>
      </w:r>
    </w:p>
    <w:p>
      <w:pPr>
        <w:spacing w:before="0" w:after="60"/>
      </w:pPr>
      <w:r>
        <w:rPr>
          <w:color w:val="6B7280"/>
          <w:sz w:val="18"/>
        </w:rPr>
        <w:t>Chicago, IL  |  Apr 2012 – Dec 2017</w:t>
      </w:r>
    </w:p>
    <w:p>
      <w:pPr>
        <w:spacing w:before="80" w:after="20"/>
      </w:pPr>
      <w:r>
        <w:rPr>
          <w:b/>
          <w:sz w:val="20"/>
        </w:rPr>
        <w:t>Created and led company's first Data/Analytics practice from scratch. Defined strategy, service catalog, career descriptions. Full P&amp;L responsibility. Architected cloud solutions for healthcare, financial services, and manufacturing clients. KEY ACCOMPLISHMENTS: • Established Data/Analytics practice and first ML offering, growing from zero to $3M with 40% margin • Created individualized growth plans for every practitioner — customized to each person's career goals, not a template • Led design of risk assessment engine for healthcare payor's underwriting unit • Established first Enterprise Data Management capability at major benefits management company • Reduced engagement costs 15% through reusable assets and reference architectures • Increased revenue $1.5M through effective delivery and addition of new capabilities</w:t>
      </w:r>
    </w:p>
    <w:p>
      <w:pPr>
        <w:spacing w:before="140" w:after="0"/>
      </w:pPr>
      <w:r>
        <w:rPr>
          <w:b/>
          <w:color w:val="1B3A5C"/>
          <w:sz w:val="22"/>
        </w:rPr>
        <w:t xml:space="preserve">Vice President  —  </w:t>
      </w:r>
      <w:r>
        <w:rPr>
          <w:b/>
          <w:color w:val="2E74B5"/>
          <w:sz w:val="22"/>
        </w:rPr>
        <w:t>PSC Group</w:t>
      </w:r>
    </w:p>
    <w:p>
      <w:pPr>
        <w:spacing w:before="0" w:after="60"/>
      </w:pPr>
      <w:r>
        <w:rPr>
          <w:color w:val="6B7280"/>
          <w:sz w:val="18"/>
        </w:rPr>
        <w:t>None  |  Apr 2005 – Apr 2012</w:t>
      </w:r>
    </w:p>
    <w:p>
      <w:pPr>
        <w:spacing w:before="80" w:after="20"/>
      </w:pPr>
      <w:r>
        <w:rPr>
          <w:b/>
          <w:sz w:val="20"/>
        </w:rPr>
        <w:t>Built and led enterprise architecture practice. Pursuits, delivery, vendor relationships, and team development. KEY ACCOMPLISHMENTS: • Launched Open-Source Application Development practice from zero to $2M, exceeding margin targets 5% in first year with minimal investment budget • Directed 4-year engagement at Global Futures Clearing Merchant — built financial instruments and contracts CDM supporting worldwide front, middle, and back office operations with millions of transactions per 2-hour windows and 15-minute latency targets • Formalized coaching layer: developed 'second tier of seniors' with dedicated time for professional development of mid-level and junior consultants, scaling mentorship beyond a single bottleneck • Created customized growth plans for entire practice with hands-on approach to removing technical and consulting roadblocks</w:t>
      </w:r>
    </w:p>
    <w:p>
      <w:pPr>
        <w:spacing w:before="80" w:after="40"/>
        <w:pBdr>
          <w:bottom w:val="single" w:sz="6" w:space="1" w:color="1B3A5C"/>
        </w:pBdr>
      </w:pPr>
    </w:p>
    <w:p>
      <w:pPr>
        <w:spacing w:before="40" w:after="80"/>
      </w:pPr>
      <w:r>
        <w:rPr>
          <w:b/>
          <w:color w:val="1B3A5C"/>
          <w:sz w:val="20"/>
        </w:rPr>
        <w:t>EARLIER CAREER</w:t>
      </w:r>
    </w:p>
    <w:p>
      <w:pPr>
        <w:spacing w:before="20" w:after="60"/>
      </w:pPr>
      <w:r>
        <w:rPr>
          <w:sz w:val="20"/>
        </w:rPr>
        <w:t>Senior Technical Architect — Health Care Services Corp (HCSC)</w:t>
      </w:r>
    </w:p>
    <w:p>
      <w:pPr>
        <w:spacing w:before="20" w:after="60"/>
      </w:pPr>
      <w:r>
        <w:rPr>
          <w:sz w:val="20"/>
        </w:rPr>
        <w:t>Senior Rules Engine Architect — Kemper Insurance</w:t>
      </w:r>
    </w:p>
    <w:p>
      <w:pPr>
        <w:spacing w:before="80" w:after="40"/>
        <w:pBdr>
          <w:bottom w:val="single" w:sz="6" w:space="1" w:color="1B3A5C"/>
        </w:pBdr>
      </w:pPr>
    </w:p>
    <w:p>
      <w:pPr>
        <w:spacing w:before="40" w:after="80"/>
      </w:pPr>
      <w:r>
        <w:rPr>
          <w:b/>
          <w:color w:val="1B3A5C"/>
          <w:sz w:val="20"/>
        </w:rPr>
        <w:t>EDUCATION</w:t>
      </w:r>
    </w:p>
    <w:p>
      <w:pPr>
        <w:spacing w:before="60" w:after="0"/>
      </w:pPr>
      <w:r>
        <w:rPr>
          <w:b/>
          <w:color w:val="1B3A5C"/>
          <w:sz w:val="20"/>
        </w:rPr>
        <w:t>Master of Engineering - MEng</w:t>
      </w:r>
      <w:r>
        <w:rPr>
          <w:sz w:val="20"/>
        </w:rPr>
        <w:t>,  Concurrent Design Management</w:t>
      </w:r>
    </w:p>
    <w:p>
      <w:pPr>
        <w:spacing w:before="0" w:after="80"/>
      </w:pPr>
      <w:r>
        <w:rPr>
          <w:sz w:val="20"/>
        </w:rPr>
        <w:t>Stevens Institute of Technology</w:t>
      </w:r>
    </w:p>
    <w:p>
      <w:pPr>
        <w:spacing w:before="60" w:after="0"/>
      </w:pPr>
      <w:r>
        <w:rPr>
          <w:b/>
          <w:color w:val="1B3A5C"/>
          <w:sz w:val="20"/>
        </w:rPr>
        <w:t>Bachelor of Science - BS</w:t>
      </w:r>
      <w:r>
        <w:rPr>
          <w:sz w:val="20"/>
        </w:rPr>
        <w:t>,  Marine Engineering Systems</w:t>
      </w:r>
    </w:p>
    <w:p>
      <w:pPr>
        <w:spacing w:before="0" w:after="80"/>
      </w:pPr>
      <w:r>
        <w:rPr>
          <w:sz w:val="20"/>
        </w:rPr>
        <w:t>United States Merchant Marine Academy</w:t>
      </w:r>
    </w:p>
    <w:p>
      <w:pPr>
        <w:spacing w:before="80" w:after="40"/>
        <w:pBdr>
          <w:bottom w:val="single" w:sz="6" w:space="1" w:color="1B3A5C"/>
        </w:pBdr>
      </w:pPr>
    </w:p>
    <w:p>
      <w:pPr>
        <w:spacing w:before="40" w:after="80"/>
      </w:pPr>
      <w:r>
        <w:rPr>
          <w:b/>
          <w:color w:val="1B3A5C"/>
          <w:sz w:val="20"/>
        </w:rPr>
        <w:t>CERTIFICATIONS &amp; LEADERSHIP TRAINING</w:t>
      </w:r>
    </w:p>
    <w:p>
      <w:pPr>
        <w:pStyle w:val="ListBullet"/>
        <w:spacing w:before="20" w:after="20"/>
      </w:pPr>
      <w:r>
        <w:rPr>
          <w:sz w:val="20"/>
        </w:rPr>
        <w:t>Essentials of Executive Leadership — Booth School of Management, University of Chicago</w:t>
      </w:r>
    </w:p>
    <w:p>
      <w:pPr>
        <w:pStyle w:val="ListBullet"/>
        <w:spacing w:before="20" w:after="20"/>
      </w:pPr>
      <w:r>
        <w:rPr>
          <w:sz w:val="20"/>
        </w:rPr>
        <w:t>AWS Certified Cloud Practitioner (issued Sep 2020)</w:t>
      </w:r>
    </w:p>
    <w:p>
      <w:pPr>
        <w:spacing w:before="80" w:after="40"/>
        <w:pBdr>
          <w:bottom w:val="single" w:sz="6" w:space="1" w:color="1B3A5C"/>
        </w:pBdr>
      </w:pPr>
    </w:p>
    <w:p>
      <w:pPr>
        <w:spacing w:before="40" w:after="80"/>
      </w:pPr>
      <w:r>
        <w:rPr>
          <w:b/>
          <w:color w:val="1B3A5C"/>
          <w:sz w:val="20"/>
        </w:rPr>
        <w:t>TECHNICAL SKILLS</w:t>
      </w:r>
    </w:p>
    <w:p>
      <w:pPr>
        <w:spacing w:before="40" w:after="20"/>
      </w:pPr>
      <w:r>
        <w:rPr>
          <w:b/>
          <w:sz w:val="20"/>
        </w:rPr>
        <w:t xml:space="preserve">Cloud &amp; Data Platforms: </w:t>
      </w:r>
      <w:r>
        <w:rPr>
          <w:sz w:val="20"/>
        </w:rPr>
        <w:t>AWS (Glue, S3, Lambda, Redshift, SageMaker), Azure (Data Factory, Synapse, Event Hub, Databricks), GCP, Snowflake</w:t>
      </w:r>
    </w:p>
    <w:p>
      <w:pPr>
        <w:spacing w:before="40" w:after="20"/>
      </w:pPr>
      <w:r>
        <w:rPr>
          <w:b/>
          <w:sz w:val="20"/>
        </w:rPr>
        <w:t xml:space="preserve">AI &amp; Agentic Architecture: </w:t>
      </w:r>
      <w:r>
        <w:rPr>
          <w:sz w:val="20"/>
        </w:rPr>
        <w:t>Multi-agent orchestration, local GPU inference (vLLM), knowledge graph design (ArangoDB), vector RAG (Qdrant), FTAL quality harness, flow orchestration</w:t>
      </w:r>
    </w:p>
    <w:p>
      <w:pPr>
        <w:spacing w:before="40" w:after="20"/>
      </w:pPr>
      <w:r>
        <w:rPr>
          <w:b/>
          <w:sz w:val="20"/>
        </w:rPr>
        <w:t xml:space="preserve">Data Architecture: </w:t>
      </w:r>
      <w:r>
        <w:rPr>
          <w:sz w:val="20"/>
        </w:rPr>
        <w:t>Canonical data models, event-driven architecture, configuration-driven ingestion, DataOps / TDD / expectation-based validation, master data management</w:t>
      </w:r>
    </w:p>
    <w:p>
      <w:pPr>
        <w:spacing w:before="40" w:after="20"/>
      </w:pPr>
      <w:r>
        <w:rPr>
          <w:b/>
          <w:sz w:val="20"/>
        </w:rPr>
        <w:t xml:space="preserve">Databases: </w:t>
      </w:r>
      <w:r>
        <w:rPr>
          <w:sz w:val="20"/>
        </w:rPr>
        <w:t>PostgreSQL, SQL Server / Synapse, Oracle, MySQL, Redshift, Aurora, DB2, Teradata</w:t>
      </w:r>
    </w:p>
    <w:p>
      <w:pPr>
        <w:spacing w:before="40" w:after="20"/>
      </w:pPr>
      <w:r>
        <w:rPr>
          <w:b/>
          <w:sz w:val="20"/>
        </w:rPr>
        <w:t xml:space="preserve">Programming &amp; Tools: </w:t>
      </w:r>
      <w:r>
        <w:rPr>
          <w:sz w:val="20"/>
        </w:rPr>
        <w:t>Python, SQL, Java, Power BI, Tableau, Apache Airflow, MuleSoft ESB</w:t>
      </w:r>
    </w:p>
    <w:p>
      <w:pPr>
        <w:spacing w:before="80" w:after="40"/>
        <w:pBdr>
          <w:bottom w:val="single" w:sz="6" w:space="1" w:color="1B3A5C"/>
        </w:pBdr>
      </w:pPr>
    </w:p>
    <w:p>
      <w:pPr>
        <w:spacing w:before="40" w:after="80"/>
      </w:pPr>
      <w:r>
        <w:rPr>
          <w:b/>
          <w:color w:val="1B3A5C"/>
          <w:sz w:val="20"/>
        </w:rPr>
        <w:t>ADDITIONAL</w:t>
      </w:r>
    </w:p>
    <w:p>
      <w:pPr>
        <w:spacing w:before="20" w:after="60"/>
      </w:pPr>
      <w:r>
        <w:rPr>
          <w:sz w:val="20"/>
        </w:rPr>
        <w:t>Military Service: Merchant Marine Engineering Officer, US Navy Reserve</w:t>
      </w:r>
    </w:p>
    <w:p>
      <w:pPr>
        <w:spacing w:before="20" w:after="60"/>
      </w:pPr>
      <w:r>
        <w:rPr>
          <w:sz w:val="20"/>
        </w:rPr>
        <w:t>Community: Volunteer Marine Engineer for MANATRA — engineering and leadership mentoring for NROTC students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