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2E5FA3"/>
          <w:sz w:val="36"/>
        </w:rPr>
        <w:t>MICHAEL VOGT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05050"/>
          <w:sz w:val="18"/>
        </w:rPr>
        <w:t>Sugar Grove, IL  ·  312-772-4762  ·  mvogt99@gmail.com  ·  linkedin.com/in/mike-vogt-analytics</w:t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646464"/>
          <w:sz w:val="18"/>
        </w:rPr>
        <w:t>Prepared for SC Johnson Cloud Services &amp; Enterprise Architecture Leadership  ·  April 2026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POSITIONING</w:t>
      </w:r>
    </w:p>
    <w:p>
      <w:pPr>
        <w:spacing w:before="80" w:after="40"/>
      </w:pPr>
      <w:r>
        <w:rPr>
          <w:rFonts w:ascii="Calibri" w:hAnsi="Calibri"/>
          <w:b w:val="0"/>
          <w:i w:val="0"/>
          <w:sz w:val="20"/>
        </w:rPr>
        <w:t xml:space="preserve">Principal- / Director-level </w:t>
      </w:r>
      <w:r>
        <w:rPr>
          <w:rFonts w:ascii="Calibri" w:hAnsi="Calibri"/>
          <w:b/>
          <w:i w:val="0"/>
          <w:sz w:val="20"/>
        </w:rPr>
        <w:t>Enterprise Architect</w:t>
      </w:r>
      <w:r>
        <w:rPr>
          <w:rFonts w:ascii="Calibri" w:hAnsi="Calibri"/>
          <w:b w:val="0"/>
          <w:i w:val="0"/>
          <w:sz w:val="20"/>
        </w:rPr>
        <w:t xml:space="preserve"> with 20+ years leading enterprise data, integration, and AI platform modernizations for global manufacturing, consumer goods, healthcare, and financial services enterprises. Pairs business architecture discipline with hands-on technical depth — translates strategy into operational platforms that organizations can run, govern, and extend long after the architecture is set.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ARCHITECT CAPABILITIES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Enterprise Architecture &amp; Business Architecture</w:t>
      </w:r>
      <w:r>
        <w:rPr>
          <w:rFonts w:ascii="Calibri" w:hAnsi="Calibri"/>
          <w:b w:val="0"/>
          <w:i w:val="0"/>
          <w:sz w:val="20"/>
        </w:rPr>
        <w:t xml:space="preserve"> — Aligns technology investment to business capability maps, target operating models, and multi-year platform roadmaps. Drives executive consensus across CIO/CTO, business unit leadership, finance, and delivery; proven ability to influence without direct authority across distributed global organizations.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Data Architecture</w:t>
      </w:r>
      <w:r>
        <w:rPr>
          <w:rFonts w:ascii="Calibri" w:hAnsi="Calibri"/>
          <w:b w:val="0"/>
          <w:i w:val="0"/>
          <w:sz w:val="20"/>
        </w:rPr>
        <w:t xml:space="preserve"> — Modern data platforms on Databricks (Unity Catalog, Delta Lake), Microsoft Fabric, and cloud-native AWS/Azure/GCP. Canonical data models, data products, data mesh, governance, and lineage at enterprise scale.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AI Architecture</w:t>
      </w:r>
      <w:r>
        <w:rPr>
          <w:rFonts w:ascii="Calibri" w:hAnsi="Calibri"/>
          <w:b w:val="0"/>
          <w:i w:val="0"/>
          <w:sz w:val="20"/>
        </w:rPr>
        <w:t xml:space="preserve"> — Production AI/ML data infrastructure: RAG pipelines, vector databases, knowledge graphs, multi-agent orchestration, and Model Context Protocol (MCP) integration patterns that preserve governance from ingestion through LLM consumption.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Application &amp; Integration Architecture</w:t>
      </w:r>
      <w:r>
        <w:rPr>
          <w:rFonts w:ascii="Calibri" w:hAnsi="Calibri"/>
          <w:b w:val="0"/>
          <w:i w:val="0"/>
          <w:sz w:val="20"/>
        </w:rPr>
        <w:t xml:space="preserve"> — Event-driven, pub/sub, CQRS, microservices, and DSL/configuration-driven platforms. Deep foundation in enterprise integration (MuleSoft, Informatica, Apache Airflow) bridging legacy systems, ERP platforms, cloud services, and modern data platforms.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SELECTED PROOF POINTS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7+ enterprise data platform modernizations</w:t>
      </w:r>
      <w:r>
        <w:rPr>
          <w:rFonts w:ascii="Calibri" w:hAnsi="Calibri"/>
          <w:b w:val="0"/>
          <w:i w:val="0"/>
          <w:sz w:val="20"/>
        </w:rPr>
        <w:t xml:space="preserve"> end-to-end across 5 firms and multiple direct clients — healthcare (payor, provider, PBM), financial services, professional services, and manufacturing — on Azure, AWS, and GCP.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$5M+ budgets, 50+ person distributed global teams</w:t>
      </w:r>
      <w:r>
        <w:rPr>
          <w:rFonts w:ascii="Calibri" w:hAnsi="Calibri"/>
          <w:b w:val="0"/>
          <w:i w:val="0"/>
          <w:sz w:val="20"/>
        </w:rPr>
        <w:t xml:space="preserve"> directed at PwC across onshore and offshore delivery; $4M engagements led at Capgemini — enterprise-scale program leadership with and without direct line authority.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Azure-anchored multi-hyperscaler Data-as-a-Product platform at PwC</w:t>
      </w:r>
      <w:r>
        <w:rPr>
          <w:rFonts w:ascii="Calibri" w:hAnsi="Calibri"/>
          <w:b w:val="0"/>
          <w:i w:val="0"/>
          <w:sz w:val="20"/>
        </w:rPr>
        <w:t xml:space="preserve"> — canonical data model foundation originated from a water-distribution client engagement, modeling orders, products, shipments, and finance (AP/GL) domains against SAP HANA and Oracle Financials; that CDM framework became the basis for a firm-wide platform extended from Azure to AWS and GCP under a unified configuration metadata model, reducing fragmentation and standardizing cross-cloud design patterns for enterprise-wide adoption. Azure Data Factory, Synapse, Event Hub, Purview, and Data Lake at the core.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Enterprise supply chain and ERP domain experience</w:t>
      </w:r>
      <w:r>
        <w:rPr>
          <w:rFonts w:ascii="Calibri" w:hAnsi="Calibri"/>
          <w:b w:val="0"/>
          <w:i w:val="0"/>
          <w:sz w:val="20"/>
        </w:rPr>
        <w:t xml:space="preserve"> — canonical data models for orders, products, shipments, and finance (AP/GL) abstracted from SAP HANA and Oracle Financials; directly relevant to global enterprises where product, supplier, logistics, and financial data must be governed consistently across platforms.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Configuration-driven, event-driven AWS data integration platform</w:t>
      </w:r>
      <w:r>
        <w:rPr>
          <w:rFonts w:ascii="Calibri" w:hAnsi="Calibri"/>
          <w:b w:val="0"/>
          <w:i w:val="0"/>
          <w:sz w:val="20"/>
        </w:rPr>
        <w:t xml:space="preserve"> serving 3 clients across 4 data domains and 20+ source systems as a canonical data product architecture — Apache Iceberg for storage, Collibra DQ for data quality, AWS Athena and Snowflake as the governed analytics consumption layer, and metadata-driven mappings governing ingestion through delivery at scale.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Manufacturing and consumer goods architecture</w:t>
      </w:r>
      <w:r>
        <w:rPr>
          <w:rFonts w:ascii="Calibri" w:hAnsi="Calibri"/>
          <w:b w:val="0"/>
          <w:i w:val="0"/>
          <w:sz w:val="20"/>
        </w:rPr>
        <w:t xml:space="preserve"> — designed a cloud data platform for a global manufacturing client while at AHEAD, scoped to architecture and design; client operates in label and packaging markets serving consumer-product categories.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Greenfield Databricks lakehouse</w:t>
      </w:r>
      <w:r>
        <w:rPr>
          <w:rFonts w:ascii="Calibri" w:hAnsi="Calibri"/>
          <w:b w:val="0"/>
          <w:i w:val="0"/>
          <w:sz w:val="20"/>
        </w:rPr>
        <w:t xml:space="preserve"> for a healthcare provider serving 10,000 customers — Unity Catalog governance and modeling standards established from inception through production.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40+ engineers and architects</w:t>
      </w:r>
      <w:r>
        <w:rPr>
          <w:rFonts w:ascii="Calibri" w:hAnsi="Calibri"/>
          <w:b w:val="0"/>
          <w:i w:val="0"/>
          <w:sz w:val="20"/>
        </w:rPr>
        <w:t xml:space="preserve"> grown from individual contributors to senior architects and technical leads — structured coaching embedded in delivery, building organizations that are permanently capable of running and extending what was built.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OPERATIONALIZATION &amp; LEADERSHIP PHILOSOPHY</w:t>
      </w:r>
    </w:p>
    <w:p>
      <w:pPr>
        <w:spacing w:before="80" w:after="40"/>
      </w:pPr>
      <w:r>
        <w:rPr>
          <w:rFonts w:ascii="Calibri" w:hAnsi="Calibri"/>
          <w:b w:val="0"/>
          <w:i w:val="0"/>
          <w:sz w:val="20"/>
        </w:rPr>
        <w:t>A platform is not delivered until an organization can run it without me. Every program embeds design-thinking and architectural-trade-off coaching into engineering organizations so they independently extend the platform to new use cases. Stakeholder alignment is earned by demonstrating outcomes, not asserting authority — a stance that has held across CIO/CTO conversations, partner reviews, and on/offshore engineering rooms alike.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CURRENT FOCUS</w:t>
      </w:r>
    </w:p>
    <w:p>
      <w:pPr>
        <w:spacing w:before="80" w:after="40"/>
      </w:pPr>
      <w:r>
        <w:rPr>
          <w:rFonts w:ascii="Calibri" w:hAnsi="Calibri"/>
          <w:b w:val="0"/>
          <w:i w:val="0"/>
          <w:sz w:val="20"/>
        </w:rPr>
        <w:t>Building practical AI-enabled data platforms that apply agentic orchestration where it creates operational value: data-quality triage, lineage explanation, governed data-product onboarding, metadata-driven workflow automation, and operational decision support. The focus is governed AI patterns — RAG, knowledge graphs, human-in-the-loop controls, and tool-integration frameworks — that extend enterprise data, integration, and stewardship disciplines into AI-native consumption. The goal is to strengthen governance, lineage, and architectural integrity rather than bypass them.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EDUCATION &amp; SERVICE</w:t>
      </w:r>
    </w:p>
    <w:p>
      <w:pPr>
        <w:spacing w:before="80" w:after="40"/>
      </w:pPr>
      <w:r>
        <w:rPr>
          <w:rFonts w:ascii="Calibri" w:hAnsi="Calibri"/>
          <w:b w:val="0"/>
          <w:i w:val="0"/>
          <w:sz w:val="20"/>
        </w:rPr>
        <w:t>ME, Concurrent Design Management — Stevens Institute of Technology  ·  BS, Marine Engineering Systems — U.S. Merchant Marine Academy  ·  Essentials of Executive Leadership — Booth, University of Chicago  ·  U.S. Navy Reserve / Merchant Marine Engineering Officer  ·  15+ years mentoring 100+ NROTC students (MANATRA).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FIT FOR SC JOHNSON</w:t>
      </w:r>
    </w:p>
    <w:p>
      <w:pPr>
        <w:spacing w:before="80" w:after="40"/>
      </w:pPr>
      <w:r>
        <w:rPr>
          <w:rFonts w:ascii="Calibri" w:hAnsi="Calibri"/>
          <w:b w:val="0"/>
          <w:i w:val="0"/>
          <w:sz w:val="20"/>
        </w:rPr>
        <w:t>SC Johnson's environment — global consumer products, manufacturing operations, supply chain, product and packaging data, finance, and commercial analytics — calls for enterprise architecture that governs data consistently across platforms rather than creating another generation of fragmentation. The experience here is directly relevant: Azure-centered cloud and data platform design, canonical data models for supply chain domains (orders, products, shipments, AP/GL) abstracted from SAP HANA and Oracle Financials, and a consistent record of building platforms that engineering organizations can run, govern, and extend independently. The value is not just designing the platform — it is ensuring the organization owns it long after the architecture is set.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