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30"/>
        </w:rPr>
        <w:t>Config-Driven Data Platform × RAG/GenAI on Azure — Three Variants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Part 2 of 2</w:t>
      </w:r>
      <w:r>
        <w:rPr>
          <w:rFonts w:ascii="Calibri" w:hAnsi="Calibri"/>
          <w:b w:val="0"/>
          <w:i w:val="0"/>
          <w:sz w:val="20"/>
        </w:rPr>
        <w:t xml:space="preserve"> · Databricks · Microsoft Fabric · Hybrid · 2026-06-17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 xml:space="preserve">Companion: </w:t>
      </w:r>
      <w:r>
        <w:rPr>
          <w:rFonts w:ascii="Consolas" w:hAnsi="Consolas"/>
          <w:b w:val="0"/>
          <w:i w:val="0"/>
          <w:color w:val="555555"/>
          <w:sz w:val="19"/>
        </w:rPr>
        <w:t>Azure_RAG_GenAI_reference_architecture_2026-06-17.md</w:t>
      </w:r>
      <w:r>
        <w:rPr>
          <w:rFonts w:ascii="Calibri" w:hAnsi="Calibri"/>
          <w:b w:val="0"/>
          <w:i w:val="0"/>
          <w:color w:val="1F4E79"/>
          <w:sz w:val="20"/>
        </w:rPr>
        <w:t xml:space="preserve"> (the GenAI/RAG core, "Arch A"). Here the RAG/GenAI tier is grounded on </w:t>
      </w:r>
      <w:r>
        <w:rPr>
          <w:rFonts w:ascii="Calibri" w:hAnsi="Calibri"/>
          <w:b/>
          <w:i w:val="0"/>
          <w:color w:val="1F4E79"/>
          <w:sz w:val="20"/>
        </w:rPr>
        <w:t>governed GOLD data products</w:t>
      </w:r>
      <w:r>
        <w:rPr>
          <w:rFonts w:ascii="Calibri" w:hAnsi="Calibri"/>
          <w:b w:val="0"/>
          <w:i w:val="0"/>
          <w:color w:val="1F4E79"/>
          <w:sz w:val="20"/>
        </w:rPr>
        <w:t xml:space="preserve"> produced by a </w:t>
      </w:r>
      <w:r>
        <w:rPr>
          <w:rFonts w:ascii="Calibri" w:hAnsi="Calibri"/>
          <w:b/>
          <w:i w:val="0"/>
          <w:color w:val="1F4E79"/>
          <w:sz w:val="20"/>
        </w:rPr>
        <w:t>configuration-driven</w:t>
      </w:r>
      <w:r>
        <w:rPr>
          <w:rFonts w:ascii="Calibri" w:hAnsi="Calibri"/>
          <w:b w:val="0"/>
          <w:i w:val="0"/>
          <w:color w:val="1F4E79"/>
          <w:sz w:val="20"/>
        </w:rPr>
        <w:t xml:space="preserve"> data platform. Three deployment shapes; one canonical config model.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1. The configuration-driven idea (one control model, swappable engines)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The platform is </w:t>
      </w:r>
      <w:r>
        <w:rPr>
          <w:rFonts w:ascii="Calibri" w:hAnsi="Calibri"/>
          <w:b/>
          <w:i w:val="0"/>
          <w:sz w:val="20"/>
        </w:rPr>
        <w:t>metadata-first</w:t>
      </w:r>
      <w:r>
        <w:rPr>
          <w:rFonts w:ascii="Calibri" w:hAnsi="Calibri"/>
          <w:b w:val="0"/>
          <w:i w:val="0"/>
          <w:sz w:val="20"/>
        </w:rPr>
        <w:t>: pipelines are generic and parameterized — they *read config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execute</w:t>
      </w:r>
      <w:r>
        <w:rPr>
          <w:rFonts w:ascii="Calibri" w:hAnsi="Calibri"/>
          <w:b w:val="0"/>
          <w:i/>
          <w:sz w:val="20"/>
        </w:rPr>
        <w:t xml:space="preserve"> rather than carrying per-source bespoke code. This is your PwC </w:t>
      </w:r>
      <w:r>
        <w:rPr>
          <w:rFonts w:ascii="Calibri" w:hAnsi="Calibri"/>
          <w:b w:val="0"/>
          <w:i w:val="0"/>
          <w:sz w:val="20"/>
        </w:rPr>
        <w:t>*canonical configuration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metadata model** (Data-as-a-Product) expressed in cloud, and it mirrors two things you already run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locally: the </w:t>
      </w:r>
      <w:r>
        <w:rPr>
          <w:rFonts w:ascii="Calibri" w:hAnsi="Calibri"/>
          <w:b/>
          <w:i w:val="0"/>
          <w:sz w:val="20"/>
        </w:rPr>
        <w:t>harness-recipes</w:t>
      </w:r>
      <w:r>
        <w:rPr>
          <w:rFonts w:ascii="Calibri" w:hAnsi="Calibri"/>
          <w:b w:val="0"/>
          <w:i w:val="0"/>
          <w:sz w:val="20"/>
        </w:rPr>
        <w:t xml:space="preserve"> "canonical recipes" registry and CloudLift's **contract-driven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adapters / bridge-adapter / multi-cloud-portability** spine (CoE patterns </w:t>
      </w:r>
      <w:r>
        <w:rPr>
          <w:rFonts w:ascii="Consolas" w:hAnsi="Consolas"/>
          <w:b w:val="0"/>
          <w:i w:val="0"/>
          <w:color w:val="555555"/>
          <w:sz w:val="19"/>
        </w:rPr>
        <w:t>contract-driven-adapters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multi-cloud-portability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┌──────────────────────────────────────────────────────────┐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CONTROL PLANE │  CONFIG / METADATA STORE              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(config-      │  • sources, canonical entities (CDM), mappings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driven)      │  • transformations, data-product defs, quality rules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│  • access policies, AI-grounding bindings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│  • per-workload  platform: databricks | fabric  selector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│  Azure App Configuration + Git config repo + control DB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└───────────────┬──────────────────────────────┬───────────┘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│ drives                        │ binds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┌───────────────▼───────────────┐   ┌───────────▼───────────────────┐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EXECUTION     │  DATA ENGINE (Variant 1/2/3)   │   │  RAG/GENAI TIER ("Arch A")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│  bronze → silver → GOLD        │──►│  embed GOLD → AI Search index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│  governed data products        │   │  + GraphRAG (Cosmos) → GPT-4o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└────────────────────────────────┘   └────────────────────────────────┘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08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guration_driven_control_model_one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0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Figure 2 — Configuration-driven control model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Key principle:</w:t>
      </w:r>
      <w:r>
        <w:rPr>
          <w:rFonts w:ascii="Calibri" w:hAnsi="Calibri"/>
          <w:b w:val="0"/>
          <w:i w:val="0"/>
          <w:sz w:val="20"/>
        </w:rPr>
        <w:t xml:space="preserve"> the config declares *which governed GOLD tables/semantic models become which AI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Search indexes / GraphRAG sets</w:t>
      </w:r>
      <w:r>
        <w:rPr>
          <w:rFonts w:ascii="Calibri" w:hAnsi="Calibri"/>
          <w:b w:val="0"/>
          <w:i/>
          <w:sz w:val="20"/>
        </w:rPr>
        <w:t xml:space="preserve">. Swapping the engine (Databricks ↔ Fabric) changes execution, </w:t>
      </w:r>
      <w:r>
        <w:rPr>
          <w:rFonts w:ascii="Calibri" w:hAnsi="Calibri"/>
          <w:b w:val="0"/>
          <w:i/>
          <w:sz w:val="20"/>
        </w:rPr>
        <w:t>not</w:t>
      </w:r>
      <w:r>
        <w:rPr>
          <w:rFonts w:ascii="Calibri" w:hAnsi="Calibri"/>
          <w:b w:val="0"/>
          <w:i/>
          <w:sz w:val="20"/>
        </w:rPr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canonical model, the data-product contracts, or the RAG bindings.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2. Variant 1 — Databricks Lakehouse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Best when </w:t>
      </w:r>
      <w:r>
        <w:rPr>
          <w:rFonts w:ascii="Calibri" w:hAnsi="Calibri"/>
          <w:b/>
          <w:i w:val="0"/>
          <w:sz w:val="20"/>
        </w:rPr>
        <w:t>data engineering and ML scale dominate</w:t>
      </w:r>
      <w:r>
        <w:rPr>
          <w:rFonts w:ascii="Calibri" w:hAnsi="Calibri"/>
          <w:b w:val="0"/>
          <w:i w:val="0"/>
          <w:sz w:val="20"/>
        </w:rPr>
        <w:t>. (This is your real SPR POC outcome — Databricks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selected for engineering/ML fit.)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CONFIG STORE ──(DABs / job params; Unity Catalog = metadata authority)──┐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                                ▼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SOURCES → ┌─────────────────── Azure Databricks 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ADLS/    │ DLT / PySpark pipelines (generic, config-parameterized)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CDC/API  │  BRONZE Δ ──► SILVER Δ ──► GOLD Δ  (Delta Lake, medallion)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│  Unity Catalog: lineage · row/column ABAC · governed data products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│  Mosaic AI / Model Serving (OSS + feature serving) · Genie (NL→SQL)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└───────────────┬───────────────────────────────────────┬────────────┘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│ GOLD Δ                                 │ embeddings job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│                                        │ (Databricks + Azure OpenAI)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┌────────────▼─────────────┐               ┌──────────▼─────────────┐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│ Power BI (Import/DirectQ) │               │  Azure AI Search index │──► Arch A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└───────────────────────────┘               │  + Cosmos GraphRAG     │   (GPT-4o,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                 └────────────────────────┘    orchestr.)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GOVERNANCE: Unity Catalog (primary) + Purview (estate catalog/lineage) · Content Safety on AI tier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25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ariant_1_databricks_lakeho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Figure 3 — Variant 1: Databricks Lakehouse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Config → execution:</w:t>
      </w:r>
      <w:r>
        <w:rPr>
          <w:rFonts w:ascii="Calibri" w:hAnsi="Calibri"/>
          <w:b w:val="0"/>
          <w:i w:val="0"/>
          <w:sz w:val="19"/>
        </w:rPr>
        <w:t xml:space="preserve"> Databricks Asset Bundles + job parameters; pipelines read config tables.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Governance authority:</w:t>
      </w:r>
      <w:r>
        <w:rPr>
          <w:rFonts w:ascii="Calibri" w:hAnsi="Calibri"/>
          <w:b w:val="0"/>
          <w:i w:val="0"/>
          <w:sz w:val="19"/>
        </w:rPr>
        <w:t xml:space="preserve"> Unity Catalog (lineage, ABAC, data products) federated into Purview.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RAG binding:</w:t>
      </w:r>
      <w:r>
        <w:rPr>
          <w:rFonts w:ascii="Calibri" w:hAnsi="Calibri"/>
          <w:b w:val="0"/>
          <w:i w:val="0"/>
          <w:sz w:val="19"/>
        </w:rPr>
        <w:t xml:space="preserve"> GOLD Delta → scheduled embedding job → AI Search; optional **Databricks Vector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Search** if you want the vector index co-located with the lakehouse.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AI:</w:t>
      </w:r>
      <w:r>
        <w:rPr>
          <w:rFonts w:ascii="Calibri" w:hAnsi="Calibri"/>
          <w:b w:val="0"/>
          <w:i w:val="0"/>
          <w:sz w:val="19"/>
        </w:rPr>
        <w:t xml:space="preserve"> Azure OpenAI for generation; </w:t>
      </w:r>
      <w:r>
        <w:rPr>
          <w:rFonts w:ascii="Calibri" w:hAnsi="Calibri"/>
          <w:b/>
          <w:i w:val="0"/>
          <w:sz w:val="19"/>
        </w:rPr>
        <w:t>Mosaic AI / Model Serving</w:t>
      </w:r>
      <w:r>
        <w:rPr>
          <w:rFonts w:ascii="Calibri" w:hAnsi="Calibri"/>
          <w:b w:val="0"/>
          <w:i w:val="0"/>
          <w:sz w:val="19"/>
        </w:rPr>
        <w:t xml:space="preserve"> for OSS/fine-tuned (your vLLM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analogue); Genie/AI-BI for NL-to-SQL on governed gold.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3. Variant 2 — Microsoft Fabric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Best when the estate is </w:t>
      </w:r>
      <w:r>
        <w:rPr>
          <w:rFonts w:ascii="Calibri" w:hAnsi="Calibri"/>
          <w:b/>
          <w:i w:val="0"/>
          <w:sz w:val="20"/>
        </w:rPr>
        <w:t>BI-led / Power BI-centric</w:t>
      </w:r>
      <w:r>
        <w:rPr>
          <w:rFonts w:ascii="Calibri" w:hAnsi="Calibri"/>
          <w:b w:val="0"/>
          <w:i w:val="0"/>
          <w:sz w:val="20"/>
        </w:rPr>
        <w:t xml:space="preserve"> and a unified SaaS analytics surface with low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ops overhead is the mandate.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CONFIG STORE ──(Fabric pipeline params + config Lakehouse table)──┐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                          ▼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SOURCES → ┌────────────────────── Microsoft Fabric 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Dataflows│ Data Pipelines / Dataflows Gen2 / Spark notebooks (config-driven)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Gen2 /   │  OneLake:  BRONZE ──► SILVER ──► GOLD  (Delta, single-copy storage)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shortcuts│  Direct Lake semantic models · Fabric Data Agents / AI Skills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│  Purview-backed governance, sensitivity labels, lineage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└───────────────┬───────────────────────────────────────┬───────────────┘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│ GOLD (OneLake Δ)                       │ embedding skillset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┌────────────▼─────────────┐               ┌──────────▼─────────────┐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│ Power BI Direct Lake +   │               │  Azure AI Search index │──► Arch A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│ Copilot (BI-side GenAI)  │               │  + Cosmos GraphRAG     │   (GPT-4o,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└───────────────────────────┘               └────────────────────────┘    orchestr.)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GOVERNANCE: Purview + Fabric domain governance · Content Safety on AI tier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49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riant_2_microsoft_fabr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4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Figure 4 — Variant 2: Microsoft Fabric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Config → execution:</w:t>
      </w:r>
      <w:r>
        <w:rPr>
          <w:rFonts w:ascii="Calibri" w:hAnsi="Calibri"/>
          <w:b w:val="0"/>
          <w:i w:val="0"/>
          <w:sz w:val="19"/>
        </w:rPr>
        <w:t xml:space="preserve"> metadata-driven Fabric Data Pipelines / Dataflows Gen2; a config Lakehouse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table parameterizes notebooks and pipelines.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Serving: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alibri" w:hAnsi="Calibri"/>
          <w:b/>
          <w:i w:val="0"/>
          <w:sz w:val="19"/>
        </w:rPr>
        <w:t>Direct Lake</w:t>
      </w:r>
      <w:r>
        <w:rPr>
          <w:rFonts w:ascii="Calibri" w:hAnsi="Calibri"/>
          <w:b w:val="0"/>
          <w:i w:val="0"/>
          <w:sz w:val="19"/>
        </w:rPr>
        <w:t xml:space="preserve"> semantic models give business users live gold; </w:t>
      </w:r>
      <w:r>
        <w:rPr>
          <w:rFonts w:ascii="Calibri" w:hAnsi="Calibri"/>
          <w:b/>
          <w:i w:val="0"/>
          <w:sz w:val="19"/>
        </w:rPr>
        <w:t>Power BI Copilot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handles BI-side NL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RAG binding:</w:t>
      </w:r>
      <w:r>
        <w:rPr>
          <w:rFonts w:ascii="Calibri" w:hAnsi="Calibri"/>
          <w:b w:val="0"/>
          <w:i w:val="0"/>
          <w:sz w:val="19"/>
        </w:rPr>
        <w:t xml:space="preserve"> OneLake GOLD (Delta) → AI Search index (embedding skillset) → Arch A; app-side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GenAI via AI Foundry agent grounded on the same gold + semantic model.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4. Variant 3 — Hybrid (the showcase: config picks the engine per workload)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Databricks does the </w:t>
      </w:r>
      <w:r>
        <w:rPr>
          <w:rFonts w:ascii="Calibri" w:hAnsi="Calibri"/>
          <w:b/>
          <w:i w:val="0"/>
          <w:sz w:val="20"/>
        </w:rPr>
        <w:t>heavy engineering/ML</w:t>
      </w:r>
      <w:r>
        <w:rPr>
          <w:rFonts w:ascii="Calibri" w:hAnsi="Calibri"/>
          <w:b w:val="0"/>
          <w:i w:val="0"/>
          <w:sz w:val="20"/>
        </w:rPr>
        <w:t xml:space="preserve">; Fabric provides the </w:t>
      </w:r>
      <w:r>
        <w:rPr>
          <w:rFonts w:ascii="Calibri" w:hAnsi="Calibri"/>
          <w:b/>
          <w:i w:val="0"/>
          <w:sz w:val="20"/>
        </w:rPr>
        <w:t>BI/serving/semantic layer</w:t>
      </w:r>
      <w:r>
        <w:rPr>
          <w:rFonts w:ascii="Calibri" w:hAnsi="Calibri"/>
          <w:b w:val="0"/>
          <w:i w:val="0"/>
          <w:sz w:val="20"/>
        </w:rPr>
        <w:t xml:space="preserve"> —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over </w:t>
      </w:r>
      <w:r>
        <w:rPr>
          <w:rFonts w:ascii="Calibri" w:hAnsi="Calibri"/>
          <w:b/>
          <w:i w:val="0"/>
          <w:sz w:val="20"/>
        </w:rPr>
        <w:t>one copy</w:t>
      </w:r>
      <w:r>
        <w:rPr>
          <w:rFonts w:ascii="Calibri" w:hAnsi="Calibri"/>
          <w:b w:val="0"/>
          <w:i w:val="0"/>
          <w:sz w:val="20"/>
        </w:rPr>
        <w:t xml:space="preserve"> of the data (OneLake shortcuts to the Databricks Delta, no duplication).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config's </w:t>
      </w:r>
      <w:r>
        <w:rPr>
          <w:rFonts w:ascii="Consolas" w:hAnsi="Consolas"/>
          <w:b w:val="0"/>
          <w:i w:val="0"/>
          <w:color w:val="555555"/>
          <w:sz w:val="19"/>
        </w:rPr>
        <w:t>platform:</w:t>
      </w:r>
      <w:r>
        <w:rPr>
          <w:rFonts w:ascii="Calibri" w:hAnsi="Calibri"/>
          <w:b w:val="0"/>
          <w:i w:val="0"/>
          <w:sz w:val="20"/>
        </w:rPr>
        <w:t xml:space="preserve"> selector routes each workload to the right engine. This is the literal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"configuration-driven" outcome you asked for.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CONFIG STORE ── per-workload selector:  platform: databricks | fabric 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│ canonical entities · data-product contracts · RAG bindings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▼ (one canonical model, two engines)                             ▼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┌──────────────── Azure Databricks ────────────────┐      ┌──────── Microsoft Fabric 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│ heavy ETL/ELT · DLT · ML (Mosaic AI)              │      │ BI semantic models · Direct Lake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│ BRONZE Δ ─► SILVER Δ ─► GOLD Δ  (writes to ADLS/  │      │ Power BI + Copilot · Data Agents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│ OneLake; Unity Catalog governance)                │      │ Dataflows Gen2 for light marts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└───────────────┬───────────────────────────────────┘      └───────────────┬───────────────────┘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│  GOLD Δ (single copy)         OneLake SHORTCUT ◄───────────┘ (no data movement)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▼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┌────────────────────────────────────────────────────────┐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│ Embedding job → Azure AI Search (hybrid) + Cosmos GraphRAG│──► Arch A (GPT-4o orchestration,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└────────────────────────────────────────────────────────┘     Content Safety, eval loop)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GOVERNANCE (federated): Unity Catalog ⟷ Purview  (lineage + ABAC across both engines)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291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riant_3_hybrid_config_picks_the_eng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9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Figure 5 — Variant 3: Hybrid (config picks the engine per workload)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Single source of truth:</w:t>
      </w:r>
      <w:r>
        <w:rPr>
          <w:rFonts w:ascii="Calibri" w:hAnsi="Calibri"/>
          <w:b w:val="0"/>
          <w:i w:val="0"/>
          <w:sz w:val="19"/>
        </w:rPr>
        <w:t xml:space="preserve"> Databricks writes governed Delta once; Fabric reads it via **OneLake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shortcuts** — no copy, no drift. RAG grounds on that same gold.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Federated governance:</w:t>
      </w:r>
      <w:r>
        <w:rPr>
          <w:rFonts w:ascii="Calibri" w:hAnsi="Calibri"/>
          <w:b w:val="0"/>
          <w:i w:val="0"/>
          <w:sz w:val="19"/>
        </w:rPr>
        <w:t xml:space="preserve"> Unity Catalog (engineering/ML) + Purview (estate-wide catalog/lineage);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ABAC/sensitivity propagates to the AI Search index.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Why it wins:</w:t>
      </w:r>
      <w:r>
        <w:rPr>
          <w:rFonts w:ascii="Calibri" w:hAnsi="Calibri"/>
          <w:b w:val="0"/>
          <w:i w:val="0"/>
          <w:sz w:val="19"/>
        </w:rPr>
        <w:t xml:space="preserve"> business users get Fabric/Power BI simplicity; data scientists get Databricks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scale; the GenAI tier grounds on one governed copy — and the </w:t>
      </w:r>
      <w:r>
        <w:rPr>
          <w:rFonts w:ascii="Calibri" w:hAnsi="Calibri"/>
          <w:b/>
          <w:i w:val="0"/>
          <w:sz w:val="20"/>
        </w:rPr>
        <w:t>config decides per workload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so adding a source or a use case is a config change, not a re-platforming.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5. Canonical config example (engine-agnostic; drives all three variants)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>data_product: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name: pbm_claims_gold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canonical_entity: Claim            # maps to the CDM, not a source schema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platform: databricks               # databricks | fabric  (Variant 3 selector)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sources: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- id: adjudication_api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mapping: mappings/claim_from_adjudication.yml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- id: eligibility_files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mapping: mappings/claim_from_eligibility.yml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transforms: [dedupe, conform_dimensions, scd2]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quality_expectations:               # gate before GOLD is published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- not_null: [claim_id, member_id, service_date]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- row_count_delta_pct: 15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governance: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classification: PHI               # Purview label; controls who/what can index it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access: abac(role in [analyst, ai_grounding_svc])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ai_grounding:                       # &lt;-- the binding to Arch A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enabled: true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index: aisearch://claims-rag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graph: cosmos://claims-graph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chunk: {strategy: semantic, max_tokens: 800}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embed_model: text-embedding-3-large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refresh: on_gold_publish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Flip </w:t>
      </w:r>
      <w:r>
        <w:rPr>
          <w:rFonts w:ascii="Consolas" w:hAnsi="Consolas"/>
          <w:b w:val="0"/>
          <w:i w:val="0"/>
          <w:color w:val="555555"/>
          <w:sz w:val="19"/>
        </w:rPr>
        <w:t>platform: fabric</w:t>
      </w:r>
      <w:r>
        <w:rPr>
          <w:rFonts w:ascii="Calibri" w:hAnsi="Calibri"/>
          <w:b w:val="0"/>
          <w:i w:val="0"/>
          <w:sz w:val="20"/>
        </w:rPr>
        <w:t xml:space="preserve"> and the </w:t>
      </w:r>
      <w:r>
        <w:rPr>
          <w:rFonts w:ascii="Calibri" w:hAnsi="Calibri"/>
          <w:b w:val="0"/>
          <w:i/>
          <w:sz w:val="20"/>
        </w:rPr>
        <w:t>same</w:t>
      </w:r>
      <w:r>
        <w:rPr>
          <w:rFonts w:ascii="Calibri" w:hAnsi="Calibri"/>
          <w:b w:val="0"/>
          <w:i w:val="0"/>
          <w:sz w:val="20"/>
        </w:rPr>
        <w:t xml:space="preserve"> declaration executes on Fabric pipelines/OneLake; the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ai_grounding</w:t>
      </w:r>
      <w:r>
        <w:rPr>
          <w:rFonts w:ascii="Calibri" w:hAnsi="Calibri"/>
          <w:b w:val="0"/>
          <w:i w:val="0"/>
          <w:sz w:val="20"/>
        </w:rPr>
        <w:t xml:space="preserve"> binding to Arch A is unchanged. That invariance </w:t>
      </w:r>
      <w:r>
        <w:rPr>
          <w:rFonts w:ascii="Calibri" w:hAnsi="Calibri"/>
          <w:b/>
          <w:i w:val="0"/>
          <w:sz w:val="20"/>
        </w:rPr>
        <w:t>is</w:t>
      </w:r>
      <w:r>
        <w:rPr>
          <w:rFonts w:ascii="Calibri" w:hAnsi="Calibri"/>
          <w:b w:val="0"/>
          <w:i w:val="0"/>
          <w:sz w:val="20"/>
        </w:rPr>
        <w:t xml:space="preserve"> the configuration-driven design.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6. When to pick which (decision guide)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Driver</w:t>
            </w:r>
          </w:p>
        </w:tc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Databricks (V1)</w:t>
            </w:r>
          </w:p>
        </w:tc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Fabric (V2)</w:t>
            </w:r>
          </w:p>
        </w:tc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Hybrid (V3)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Center of gravity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data engineering / ML at scale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BI-led, Power BI-centric, SaaS-simple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both, at scale</w:t>
            </w:r>
          </w:p>
        </w:tc>
      </w:tr>
      <w:tr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Team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data engineers, ML engineers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analysts, BI devs, business users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mixed org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Ops overhead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higher (clusters, tuning)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lowest (SaaS)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medium</w:t>
            </w:r>
          </w:p>
        </w:tc>
      </w:tr>
      <w:tr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Advanced ML / OSS models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strongest (Mosaic AI / Model Serving)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lighter (AI Skills / Copilot)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strongest (on the DBX side)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Governance authority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Unity Catalog (+ Purview)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Purview (+ Fabric domains)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federated UC ⟷ Purview</w:t>
            </w:r>
          </w:p>
        </w:tc>
      </w:tr>
      <w:tr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RAG grounding source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GOLD Delta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OneLake GOLD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one shared GOLD (shortcut)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Typical "right answer"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ML-heavy modernization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BI/semantic modernization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most large enterprises</w:t>
            </w:r>
          </w:p>
        </w:tc>
      </w:tr>
    </w:tbl>
    <w:p>
      <w:pPr>
        <w:spacing w:before="0" w:after="80"/>
      </w:pPr>
      <w:r>
        <w:rPr>
          <w:rFonts w:ascii="Calibri" w:hAnsi="Calibri"/>
          <w:b/>
          <w:i w:val="0"/>
          <w:sz w:val="20"/>
        </w:rPr>
        <w:t>The mature line (use it in the 3Cloud interview):</w:t>
      </w:r>
      <w:r>
        <w:rPr>
          <w:rFonts w:ascii="Calibri" w:hAnsi="Calibri"/>
          <w:b w:val="0"/>
          <w:i w:val="0"/>
          <w:sz w:val="20"/>
        </w:rPr>
        <w:t xml:space="preserve"> *"It's rarely either/or — Variant 3 is where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most enterprises land: Databricks for engineering and ML, Fabric for the BI/semantic layer over one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OneLake copy, and the GenAI tier grounded on that single governed gold. I drive the engine choice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from the client's center of gravity, and I keep it a configuration decision so it stays reversible —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which is exactly the Fabric-vs-Databricks POC I ran where the data pointed to Databricks."*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6b. Cost &amp; sizing per variant (illustrative, USD/month)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 xml:space="preserve">This is the </w:t>
      </w:r>
      <w:r>
        <w:rPr>
          <w:rFonts w:ascii="Calibri" w:hAnsi="Calibri"/>
          <w:b/>
          <w:i w:val="0"/>
          <w:color w:val="1F4E79"/>
          <w:sz w:val="20"/>
        </w:rPr>
        <w:t>data-platform engine cost</w:t>
      </w:r>
      <w:r>
        <w:rPr>
          <w:rFonts w:ascii="Calibri" w:hAnsi="Calibri"/>
          <w:b w:val="0"/>
          <w:i w:val="0"/>
          <w:color w:val="1F4E79"/>
          <w:sz w:val="20"/>
        </w:rPr>
        <w:t xml:space="preserve">, </w:t>
      </w:r>
      <w:r>
        <w:rPr>
          <w:rFonts w:ascii="Calibri" w:hAnsi="Calibri"/>
          <w:b w:val="0"/>
          <w:i/>
          <w:color w:val="1F4E79"/>
          <w:sz w:val="20"/>
        </w:rPr>
        <w:t>on top of</w:t>
      </w:r>
      <w:r>
        <w:rPr>
          <w:rFonts w:ascii="Calibri" w:hAnsi="Calibri"/>
          <w:b w:val="0"/>
          <w:i w:val="0"/>
          <w:color w:val="1F4E79"/>
          <w:sz w:val="20"/>
        </w:rPr>
        <w:t xml:space="preserve"> the RAG/GenAI core (see Part 1 §4b). Order-of-magnitude — validate with the Azure Pricing Calculator + real DBU/capacity telemetry.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</w:p>
        </w:tc>
        <w:tc>
          <w:tcPr>
            <w:tcW w:type="dxa" w:w="2045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Small</w:t>
            </w:r>
          </w:p>
        </w:tc>
        <w:tc>
          <w:tcPr>
            <w:tcW w:type="dxa" w:w="2045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Medium</w:t>
            </w:r>
          </w:p>
        </w:tc>
        <w:tc>
          <w:tcPr>
            <w:tcW w:type="dxa" w:w="2045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Large</w:t>
            </w:r>
          </w:p>
        </w:tc>
        <w:tc>
          <w:tcPr>
            <w:tcW w:type="dxa" w:w="2045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Primary cost driver &amp; levers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V1 Databricks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$500–2K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$3–10K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$15–50K+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DBU + cluster VMs.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Levers: serverless SQL, Photon, autoscaling, spot, job (not all-purpose) clusters</w:t>
            </w:r>
          </w:p>
        </w:tc>
      </w:tr>
      <w:tr>
        <w:tc>
          <w:tcPr>
            <w:tcW w:type="dxa" w:w="2045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V2 Fabric</w:t>
            </w:r>
          </w:p>
        </w:tc>
        <w:tc>
          <w:tcPr>
            <w:tcW w:type="dxa" w:w="2045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F2–F4 ~$260–525</w:t>
            </w:r>
          </w:p>
        </w:tc>
        <w:tc>
          <w:tcPr>
            <w:tcW w:type="dxa" w:w="2045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F8–F16 ~$1–2.1K</w:t>
            </w:r>
          </w:p>
        </w:tc>
        <w:tc>
          <w:tcPr>
            <w:tcW w:type="dxa" w:w="2045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F64+ ~$5–8.4K+</w:t>
            </w:r>
          </w:p>
        </w:tc>
        <w:tc>
          <w:tcPr>
            <w:tcW w:type="dxa" w:w="2045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Capacity SKU (F-SKU).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F64 is the Copilot/AI threshold. Levers: 1-yr reservation (~–40%), pause non-prod capacity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V3 Hybrid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DBX small + F4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DBX med + F8–F16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DBX large + F32–F64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Size </w:t>
            </w:r>
            <w:r>
              <w:rPr>
                <w:rFonts w:ascii="Calibri" w:hAnsi="Calibri"/>
                <w:b/>
                <w:i w:val="0"/>
                <w:sz w:val="17"/>
              </w:rPr>
              <w:t>Fabric for *serving only</w:t>
            </w:r>
            <w:r>
              <w:rPr>
                <w:rFonts w:ascii="Calibri" w:hAnsi="Calibri"/>
                <w:b w:val="0"/>
                <w:i w:val="0"/>
                <w:sz w:val="17"/>
              </w:rPr>
              <w:t>* (Databricks does the heavy engineering) — usually the cost-optimal shape at scale</w:t>
            </w:r>
          </w:p>
        </w:tc>
      </w:tr>
    </w:tbl>
    <w:p>
      <w:pPr>
        <w:spacing w:before="0" w:after="80"/>
      </w:pPr>
      <w:r>
        <w:rPr>
          <w:rFonts w:ascii="Calibri" w:hAnsi="Calibri"/>
          <w:b/>
          <w:i w:val="0"/>
          <w:sz w:val="20"/>
        </w:rPr>
        <w:t>Why Hybrid is often cheapest at scale:</w:t>
      </w:r>
      <w:r>
        <w:rPr>
          <w:rFonts w:ascii="Calibri" w:hAnsi="Calibri"/>
          <w:b w:val="0"/>
          <w:i w:val="0"/>
          <w:sz w:val="20"/>
        </w:rPr>
        <w:t xml:space="preserve"> you don't pay for a giant Fabric capacity to do heavy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ETL/ML (Databricks DBUs handle that elastically), and you don't duplicate storage (OneLake shortcut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to one Delta copy). You size Fabric purely to the BI/serving + Copilot need (often F8–F64), and let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Databricks autoscale/spot the engineering load. </w:t>
      </w:r>
      <w:r>
        <w:rPr>
          <w:rFonts w:ascii="Calibri" w:hAnsi="Calibri"/>
          <w:b/>
          <w:i w:val="0"/>
          <w:sz w:val="20"/>
        </w:rPr>
        <w:t>Both engines read/write one governed GOLD copy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so there's no double-storage or double-pipeline cost — the config-driven model is also 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cost-control model.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7. CoE citations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Patterns/blueprints from </w:t>
      </w:r>
      <w:r>
        <w:rPr>
          <w:rFonts w:ascii="Consolas" w:hAnsi="Consolas"/>
          <w:b w:val="0"/>
          <w:i w:val="0"/>
          <w:color w:val="555555"/>
          <w:sz w:val="19"/>
        </w:rPr>
        <w:t>localhost:8000/api/architecture-coe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nsolas" w:hAnsi="Consolas"/>
          <w:b w:val="0"/>
          <w:i w:val="0"/>
          <w:color w:val="555555"/>
          <w:sz w:val="19"/>
        </w:rPr>
        <w:t>contract-driven-adapters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multi-cloud-portability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bridge-adapter-pattern</w:t>
      </w:r>
      <w:r>
        <w:rPr>
          <w:rFonts w:ascii="Calibri" w:hAnsi="Calibri"/>
          <w:b w:val="0"/>
          <w:i w:val="0"/>
          <w:sz w:val="20"/>
        </w:rPr>
        <w:t xml:space="preserve"> (CloudLift spine — the config-driven backbone);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rag-service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streaming-data-pipeline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document-processing-pipeline</w:t>
      </w:r>
      <w:r>
        <w:rPr>
          <w:rFonts w:ascii="Calibri" w:hAnsi="Calibri"/>
          <w:b w:val="0"/>
          <w:i w:val="0"/>
          <w:sz w:val="20"/>
        </w:rPr>
        <w:t xml:space="preserve"> (ingestion); </w:t>
      </w:r>
      <w:r>
        <w:rPr>
          <w:rFonts w:ascii="Consolas" w:hAnsi="Consolas"/>
          <w:b w:val="0"/>
          <w:i w:val="0"/>
          <w:color w:val="555555"/>
          <w:sz w:val="19"/>
        </w:rPr>
        <w:t>azure-openai-llm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azure-blob-storage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azure-service-bus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azure-database-postgres</w:t>
      </w:r>
      <w:r>
        <w:rPr>
          <w:rFonts w:ascii="Calibri" w:hAnsi="Calibri"/>
          <w:b w:val="0"/>
          <w:i w:val="0"/>
          <w:sz w:val="20"/>
        </w:rPr>
        <w:t>. Local grounding via the API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Documentation Hub (</w:t>
      </w:r>
      <w:r>
        <w:rPr>
          <w:rFonts w:ascii="Consolas" w:hAnsi="Consolas"/>
          <w:b w:val="0"/>
          <w:i w:val="0"/>
          <w:color w:val="555555"/>
          <w:sz w:val="19"/>
        </w:rPr>
        <w:t>localhost:8900</w:t>
      </w:r>
      <w:r>
        <w:rPr>
          <w:rFonts w:ascii="Calibri" w:hAnsi="Calibri"/>
          <w:b w:val="0"/>
          <w:i w:val="0"/>
          <w:sz w:val="20"/>
        </w:rPr>
        <w:t>): vLLM, PersonaForge (hybrid retrieval), Qdrant, ArangoDB, FTAL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harness, CloudLift.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