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81A6704" wp14:noSpellErr="1" wp14:textId="7A0CD66F">
      <w:pPr>
        <w:spacing w:before="0" w:after="40"/>
      </w:pPr>
      <w:r w:rsidRPr="1A298617" w:rsidR="1A298617">
        <w:rPr>
          <w:rFonts w:ascii="Calibri" w:hAnsi="Calibri"/>
          <w:b w:val="1"/>
          <w:bCs w:val="1"/>
          <w:sz w:val="26"/>
          <w:szCs w:val="26"/>
        </w:rPr>
        <w:t>Michael Vogt</w:t>
      </w:r>
    </w:p>
    <w:p xmlns:wp14="http://schemas.microsoft.com/office/word/2010/wordml" w14:paraId="7036735A" wp14:noSpellErr="1" wp14:textId="7A4C8F74">
      <w:pPr>
        <w:spacing w:before="0" w:after="240"/>
      </w:pPr>
      <w:r w:rsidRPr="1A298617" w:rsidR="1A298617">
        <w:rPr>
          <w:rFonts w:ascii="Calibri" w:hAnsi="Calibri"/>
          <w:b w:val="0"/>
          <w:bCs w:val="0"/>
          <w:sz w:val="20"/>
          <w:szCs w:val="20"/>
        </w:rPr>
        <w:t>Sugar Grove, IL 60554  |  312-772-4762  |  mvogt99@gmail.com  |  linkedin.com/in/mike-vogt-analytics</w:t>
      </w:r>
    </w:p>
    <w:p xmlns:wp14="http://schemas.microsoft.com/office/word/2010/wordml" w14:paraId="3BFA8CC8" wp14:textId="77777777">
      <w:pPr>
        <w:spacing w:before="0" w:after="160"/>
      </w:pPr>
      <w:r>
        <w:rPr>
          <w:rFonts w:ascii="Calibri" w:hAnsi="Calibri"/>
          <w:b w:val="0"/>
          <w:sz w:val="22"/>
        </w:rPr>
        <w:t>June 4, 2026</w:t>
      </w:r>
    </w:p>
    <w:p xmlns:wp14="http://schemas.microsoft.com/office/word/2010/wordml" w14:paraId="3A7CA212" wp14:textId="77777777">
      <w:pPr>
        <w:spacing w:before="0" w:after="40"/>
      </w:pPr>
      <w:r>
        <w:rPr>
          <w:rFonts w:ascii="Calibri" w:hAnsi="Calibri"/>
          <w:b w:val="0"/>
          <w:sz w:val="22"/>
        </w:rPr>
        <w:t>Brillio</w:t>
      </w:r>
    </w:p>
    <w:p xmlns:wp14="http://schemas.microsoft.com/office/word/2010/wordml" w14:paraId="6E5C2422" wp14:textId="77777777">
      <w:pPr>
        <w:spacing w:before="0" w:after="40"/>
      </w:pPr>
      <w:r>
        <w:rPr>
          <w:rFonts w:ascii="Calibri" w:hAnsi="Calibri"/>
          <w:b w:val="0"/>
          <w:sz w:val="22"/>
        </w:rPr>
        <w:t>Hiring Team — Enterprise Data Architect, Banking Practice</w:t>
      </w:r>
    </w:p>
    <w:p xmlns:wp14="http://schemas.microsoft.com/office/word/2010/wordml" w14:paraId="59303CD2" wp14:textId="77777777">
      <w:pPr>
        <w:spacing w:before="120" w:after="160"/>
      </w:pPr>
      <w:r w:rsidRPr="1A298617" w:rsidR="1A298617">
        <w:rPr>
          <w:rFonts w:ascii="Calibri" w:hAnsi="Calibri"/>
          <w:b w:val="0"/>
          <w:bCs w:val="0"/>
          <w:sz w:val="22"/>
          <w:szCs w:val="22"/>
        </w:rPr>
        <w:t>Dear Brillio Hiring Team,</w:t>
      </w:r>
    </w:p>
    <w:p w:rsidR="1A298617" w:rsidP="1A298617" w:rsidRDefault="1A298617" w14:paraId="544D726A" w14:textId="2E031D7D">
      <w:pPr>
        <w:pStyle w:val="Normal"/>
      </w:pPr>
      <w:r w:rsidRPr="1A298617" w:rsidR="1A298617">
        <w:rPr>
          <w:rFonts w:ascii="Calibri" w:hAnsi="Calibri" w:eastAsia="Calibri" w:cs="Calibri"/>
          <w:b w:val="0"/>
          <w:bCs w:val="0"/>
          <w:sz w:val="22"/>
          <w:szCs w:val="22"/>
        </w:rPr>
        <w:t>What stands out to me about Brillio’s Enterprise Data Architect opportunity is the combination of strategic client advisory work and hands-on architecture leadership. My experience has centered on exactly that intersection: helping clients define target-state data architecture, governance, and phased roadmaps while also guiding execution across cloud and hybrid data platform implementations that support analytics, AI/ML, and digital products at scale.</w:t>
      </w:r>
    </w:p>
    <w:p w:rsidR="1A298617" w:rsidP="1A298617" w:rsidRDefault="1A298617" w14:paraId="63ED24D8" w14:textId="074B7A2D">
      <w:pPr>
        <w:pStyle w:val="Normal"/>
      </w:pPr>
      <w:r w:rsidRPr="1A298617" w:rsidR="1A298617">
        <w:rPr>
          <w:rFonts w:ascii="Calibri" w:hAnsi="Calibri" w:eastAsia="Calibri" w:cs="Calibri"/>
          <w:b w:val="0"/>
          <w:bCs w:val="0"/>
          <w:sz w:val="22"/>
          <w:szCs w:val="22"/>
        </w:rPr>
        <w:t>I am an Enterprise Data Architect and consulting leader with 20+ years of experience across firms including AHEAD, PwC, SPR, NVISIA, and PSC Group. Most recently at AHEAD, I led enterprise data architecture and AI-enabled data platform engagements, facilitating client discovery workshops, developing target-state blueprints and migration roadmaps, and producing executive-ready architecture deliverables and governance models. At PwC, I led enterprise data architecture strategy for large-scale multi-cloud data platform programs, establishing standards across Azure, AWS, and GCP and guiding cross-functional delivery teams through architecture, governance, and implementation. Earlier in my career at PSC Group, I directed enterprise data architecture for a global futures clearing merchant, designing canonical models and low-latency analytics across front, middle, and back office trading operations handling millions of daily transactions. That background in regulated, high-volume financial data environments gives me a strong foundation for banking-focused client work.</w:t>
      </w:r>
    </w:p>
    <w:p w:rsidR="1A298617" w:rsidP="1A298617" w:rsidRDefault="1A298617" w14:paraId="09C6DF36" w14:textId="7E467527">
      <w:pPr>
        <w:pStyle w:val="Normal"/>
      </w:pPr>
      <w:r w:rsidRPr="1A298617" w:rsidR="1A298617">
        <w:rPr>
          <w:rFonts w:ascii="Calibri" w:hAnsi="Calibri" w:eastAsia="Calibri" w:cs="Calibri"/>
          <w:b w:val="0"/>
          <w:bCs w:val="0"/>
          <w:sz w:val="22"/>
          <w:szCs w:val="22"/>
        </w:rPr>
        <w:t>I also bring strong experience architecting data foundations for AI/ML and GenAI use cases in regulated environments. My recent work includes defining AI-assisted data engineering lifecycle standards, establishing quality gates for AI-generated code, tests, and documentation, and designing governed data platforms with metadata, lineage, data quality, privacy, and access controls built in from the start. Across consulting engagements, I have helped evaluate platforms such as Microsoft Fabric, Databricks, Snowflake, and Redshift, and I have designed lakehouse, warehouse, and streaming architectures that enable trusted data products, semantic layers, and enterprise-scale analytics. I would bring that blend of enterprise architecture depth, governance rigor, and client-facing consulting leadership to Brillio’s banking practice.</w:t>
      </w:r>
    </w:p>
    <w:p w:rsidR="1A298617" w:rsidP="1A298617" w:rsidRDefault="1A298617" w14:paraId="306413B5" w14:textId="7EB16277">
      <w:pPr>
        <w:pStyle w:val="Normal"/>
      </w:pPr>
      <w:r w:rsidRPr="1A298617" w:rsidR="1A298617">
        <w:rPr>
          <w:rFonts w:ascii="Calibri" w:hAnsi="Calibri" w:eastAsia="Calibri" w:cs="Calibri"/>
          <w:b w:val="0"/>
          <w:bCs w:val="0"/>
          <w:sz w:val="22"/>
          <w:szCs w:val="22"/>
        </w:rPr>
        <w:t>Brillio’s digital-first approach and focus on helping enterprise clients modernize data and analytics capabilities is especially compelling to me. I would welcome the opportunity to bring my experience in enterprise data architecture, governance, financial-services data environments, and AI-enabled platform strategy to your team and your banking clients.</w:t>
      </w:r>
    </w:p>
    <w:p xmlns:wp14="http://schemas.microsoft.com/office/word/2010/wordml" w14:paraId="5CF11C59" wp14:textId="77777777">
      <w:pPr>
        <w:spacing w:before="240" w:after="320"/>
      </w:pPr>
      <w:r>
        <w:rPr>
          <w:rFonts w:ascii="Calibri" w:hAnsi="Calibri"/>
          <w:b w:val="0"/>
          <w:sz w:val="22"/>
        </w:rPr>
        <w:t>Sincerely,</w:t>
      </w:r>
    </w:p>
    <w:p xmlns:wp14="http://schemas.microsoft.com/office/word/2010/wordml" w14:paraId="4370DF79" wp14:textId="77777777">
      <w:pPr>
        <w:spacing w:before="0" w:after="0"/>
      </w:pPr>
      <w:r>
        <w:rPr>
          <w:rFonts w:ascii="Calibri" w:hAnsi="Calibri"/>
          <w:b/>
          <w:sz w:val="22"/>
        </w:rPr>
        <w:t>Michael Vogt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98617"/>
    <w:rsid w:val="1CA57E58"/>
    <w:rsid w:val="1F0EC6C5"/>
    <w:rsid w:val="6E8E8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E9BD0BC-8CA9-475F-8563-DEDAF1063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2026-06-04T14:39:04.8832514Z</dcterms:modified>
  <category/>
</coreProperties>
</file>