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4E79"/>
          <w:sz w:val="28"/>
        </w:rPr>
        <w:t>MICHAEL VOGT</w:t>
      </w:r>
    </w:p>
    <w:p>
      <w:pPr>
        <w:spacing w:before="0" w:after="40"/>
        <w:jc w:val="center"/>
      </w:pPr>
      <w:r>
        <w:rPr>
          <w:rFonts w:ascii="Calibri" w:hAnsi="Calibri"/>
          <w:b w:val="0"/>
          <w:sz w:val="19"/>
        </w:rPr>
        <w:t>Sugar Grove, IL 60554  •  312-772-4762  •  mvogt99@gmail.com  •  linkedin.com/in/mike-vogt-analytics</w:t>
      </w:r>
    </w:p>
    <w:p>
      <w:pPr>
        <w:spacing w:before="40" w:after="160"/>
        <w:pBdr>
          <w:bottom w:val="single" w:sz="6" w:space="1" w:color="1F4E79"/>
        </w:pBdr>
      </w:pPr>
    </w:p>
    <w:p>
      <w:pPr>
        <w:spacing w:before="0" w:after="240"/>
      </w:pPr>
      <w:r>
        <w:rPr>
          <w:rFonts w:ascii="Calibri" w:hAnsi="Calibri"/>
          <w:b w:val="0"/>
          <w:sz w:val="20"/>
        </w:rPr>
        <w:t>June 11, 2026</w:t>
      </w:r>
    </w:p>
    <w:p>
      <w:pPr>
        <w:spacing w:before="0" w:after="240"/>
      </w:pPr>
      <w:r>
        <w:rPr>
          <w:rFonts w:ascii="Calibri" w:hAnsi="Calibri"/>
          <w:b w:val="0"/>
          <w:sz w:val="20"/>
        </w:rPr>
        <w:t>Dear Hiring Manager,</w:t>
      </w:r>
    </w:p>
    <w:p>
      <w:pPr>
        <w:spacing w:before="80" w:after="200"/>
      </w:pPr>
      <w:r>
        <w:rPr>
          <w:rFonts w:ascii="Calibri" w:hAnsi="Calibri"/>
          <w:b w:val="0"/>
          <w:sz w:val="20"/>
        </w:rPr>
        <w:t>The most valuable consulting I've done wasn't in the presale room or in the delivery stand-up in isolation — it was the work that connected both. Whether I'm architecting a solution on a discovery whiteboard, leading a proof-of-value engagement, or coaching a delivery team through a production release, I bring the same orientation: understand what the client actually needs, design something that can realistically get there, and make sure the path from architecture to delivery doesn't get lost in translation. The Senior Manager, Solutions Architecture — Data and AI role at TELUS is that profile exactly: someone who can bridge presale strategy and project delivery, own a technology vertical, and catalyze both new engagements and in-flight teams equally well.</w:t>
      </w:r>
    </w:p>
    <w:p>
      <w:pPr>
        <w:spacing w:before="80" w:after="200"/>
      </w:pPr>
      <w:r>
        <w:rPr>
          <w:rFonts w:ascii="Calibri" w:hAnsi="Calibri"/>
          <w:b w:val="0"/>
          <w:sz w:val="20"/>
        </w:rPr>
        <w:t>In 20+ years across PwC, AHEAD, SPR, and NVISIA — exclusively in agency and client-service environments — I've built the track record this role requires on both sides of the engagement lifecycle. At SPR, I built the data and analytics consulting practice from zero to $4.5M, closing individual engagements exceeding $500K through executive discovery conversations, repeatable estimation frameworks, and compelling solution proposals on Azure and AWS. At PwC, I governed a $5M+ multi-cloud Data &amp; AI program across a team of 50+, leading the commercial conversations — budgets, fees, phased investment planning — and resolving C-level misalignments in real time. The multi-platform depth TELUS requires is something I've built through real delivery: Databricks lakehouse and competitive evaluations at AHEAD; Snowflake and Redshift platform selection work; Azure Data Services, Synapse Analytics, and Microsoft Fabric POVs; AWS-native data platforms at SPR; and GCP as the third-cloud layer at PwC. That breadth — winning the work, estimating it, staffing it, and delivering it across Databricks, Snowflake, Azure, and AWS — is what I'd bring to TELUS engagements from day one.</w:t>
      </w:r>
    </w:p>
    <w:p>
      <w:pPr>
        <w:spacing w:before="80" w:after="200"/>
      </w:pPr>
      <w:r>
        <w:rPr>
          <w:rFonts w:ascii="Calibri" w:hAnsi="Calibri"/>
          <w:b w:val="0"/>
          <w:sz w:val="20"/>
        </w:rPr>
        <w:t>The Roving Catalyst responsibility resonates with me in particular. At SPR and NVISIA, some of my most impactful work was parachuting into in-flight projects — resolving architectural misalignments, accelerating stalled builds, and identifying adjacent Data &amp; AI opportunities that expanded account scope beyond the original engagement. At AHEAD, I led a Microsoft Fabric proof-of-value for a healthcare analytics provider that began as a presale discovery whiteboard session and ended with a funded multi-year platform roadmap and implementation contract — because I could carry the architecture from initial conversation through executive briefing and into delivery plan. That presale-to-delivery continuity is precisely what TELUS describes, and it reflects how I approach every engagement: qualify the opportunity, shape the solution, estimate realistically, and stay present through delivery to ensure what was sold is what gets built.</w:t>
      </w:r>
    </w:p>
    <w:p>
      <w:pPr>
        <w:spacing w:before="80" w:after="400"/>
      </w:pPr>
      <w:r>
        <w:rPr>
          <w:rFonts w:ascii="Calibri" w:hAnsi="Calibri"/>
          <w:b w:val="0"/>
          <w:sz w:val="20"/>
        </w:rPr>
        <w:t>I'm actively building hands-on depth in the platforms TELUS is winning with — MLOps frameworks for CI/CD of machine learning models in containerized (Docker/Kubernetes) environments, agentic AI system design, RAG pipelines, and emerging platforms including AWS Bedrock, Azure AI Foundry, Google Vertex AI, and Databricks Model Serving. I operate multi-agent AI orchestration and local GPU inference daily in a production context, which gives me genuine technical credibility on the agentic AI and LLM side of the TELUS portfolio. The combination of multi-cloud data platform delivery depth, presale-to-delivery continuity, roving architectural catalyst experience, and current MLOps / AI depth feels well-matched to what TELUS is building in this practice. I'd welcome the opportunity to discuss how I can contribute.</w:t>
      </w:r>
    </w:p>
    <w:p>
      <w:pPr>
        <w:spacing w:before="0" w:after="720"/>
      </w:pPr>
      <w:r>
        <w:rPr>
          <w:rFonts w:ascii="Calibri" w:hAnsi="Calibri"/>
          <w:b w:val="0"/>
          <w:sz w:val="20"/>
        </w:rPr>
        <w:t>Sincerely,</w:t>
      </w:r>
    </w:p>
    <w:p>
      <w:pPr>
        <w:spacing w:before="0" w:after="80"/>
      </w:pPr>
      <w:r>
        <w:rPr>
          <w:rFonts w:ascii="Calibri" w:hAnsi="Calibri"/>
          <w:b w:val="0"/>
          <w:sz w:val="20"/>
        </w:rPr>
        <w:t>Michael Vogt</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