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MICHAEL VOGT</w:t>
      </w:r>
    </w:p>
    <w:p>
      <w:pPr>
        <w:spacing w:after="120"/>
        <w:jc w:val="center"/>
      </w:pPr>
      <w:r>
        <w:t>Sugar Grove, IL 60554 | 312-772-4762 | mvogt99@gmail.com | linkedin.com/in/mike-vogt-analytics</w:t>
      </w:r>
    </w:p>
    <w:p>
      <w:pPr>
        <w:pStyle w:val="Heading1"/>
        <w:spacing w:before="120" w:after="120"/>
      </w:pPr>
      <w:r>
        <w:t>PROFESSIONAL SUMMARY</w:t>
      </w:r>
    </w:p>
    <w:p>
      <w:pPr>
        <w:spacing w:after="60"/>
      </w:pPr>
      <w:r>
        <w:t>Solutions Architect with 20+ years translating complex business challenges into enterprise cloud data platform solutions. Expert in conducting discovery workshops with C-level executives and technical leadership, designing multi-cloud architectures spanning Azure, AWS, and GCP. Proven track record architecting and delivering large-scale proof-of-concept engagements that validate solution feasibility and demonstrate ROI. Healthcare domain specialist with deep expertise in designing end-to-end solutions for payor, provider, and pharmacy domains. Consulting practice builder who scaled analytics practices from zero to $3M-$4.5M through innovative solutions architecture and customer-centric positioning.</w:t>
      </w:r>
    </w:p>
    <w:p>
      <w:pPr>
        <w:pStyle w:val="Heading1"/>
        <w:spacing w:before="120" w:after="120"/>
      </w:pPr>
      <w:r>
        <w:t>CORE COMPETENCIES</w:t>
      </w:r>
    </w:p>
    <w:p>
      <w:pPr>
        <w:spacing w:after="60"/>
        <w:ind w:left="360"/>
      </w:pPr>
      <w:r>
        <w:rPr>
          <w:b/>
        </w:rPr>
        <w:t xml:space="preserve">Discovery &amp; Requirements: </w:t>
      </w:r>
      <w:r>
        <w:t>Executive stakeholder engagement | C-level workshop facilitation | Requirements discovery | Business problem articulation | Solution scoping | RFP response</w:t>
      </w:r>
    </w:p>
    <w:p>
      <w:pPr>
        <w:spacing w:after="60"/>
        <w:ind w:left="360"/>
      </w:pPr>
      <w:r>
        <w:rPr>
          <w:b/>
        </w:rPr>
        <w:t xml:space="preserve">Solutions Architecture: </w:t>
      </w:r>
      <w:r>
        <w:t>Multi-cloud architecture (Azure/AWS/GCP) | Cloud data platforms | Integration architecture | Enterprise analytics | Proof-of-concept design | Implementation roadmapping | ROI analysis</w:t>
      </w:r>
    </w:p>
    <w:p>
      <w:pPr>
        <w:spacing w:after="60"/>
        <w:ind w:left="360"/>
      </w:pPr>
      <w:r>
        <w:rPr>
          <w:b/>
        </w:rPr>
        <w:t xml:space="preserve">Client Engagement: </w:t>
      </w:r>
      <w:r>
        <w:t>Executive presentations | Technical architecture communication | Board-level stakeholder management | Cross-functional team coordination | Pre-sales leadership | Solutions proposal development</w:t>
      </w:r>
    </w:p>
    <w:p>
      <w:pPr>
        <w:spacing w:after="60"/>
        <w:ind w:left="360"/>
      </w:pPr>
      <w:r>
        <w:rPr>
          <w:b/>
        </w:rPr>
        <w:t xml:space="preserve">Enterprise Architecture: </w:t>
      </w:r>
      <w:r>
        <w:t>Event-driven architectures | Multi-component solution design | Integration patterns | Data governance | Enterprise integration middleware | Microservices architectures</w:t>
      </w:r>
    </w:p>
    <w:p>
      <w:pPr>
        <w:spacing w:after="60"/>
        <w:ind w:left="360"/>
      </w:pPr>
      <w:r>
        <w:rPr>
          <w:b/>
        </w:rPr>
        <w:t xml:space="preserve">Domain Expertise: </w:t>
      </w:r>
      <w:r>
        <w:t>Healthcare (payor/provider/pharmacy) | Financial services | Claims processing (NCPDP, ANSI X12) | Regulatory compliance (FHIR, HIPAA) | Enterprise data governance</w:t>
      </w:r>
    </w:p>
    <w:p>
      <w:pPr>
        <w:pStyle w:val="Heading1"/>
        <w:spacing w:before="120" w:after="120"/>
      </w:pPr>
      <w:r>
        <w:t>PROFESSIONAL EXPERIENCE</w:t>
      </w:r>
    </w:p>
    <w:p>
      <w:pPr>
        <w:pStyle w:val="Heading2"/>
        <w:spacing w:before="60" w:after="60"/>
      </w:pPr>
      <w:r>
        <w:t>AHEAD | Chicago, IL | 2023 – Present</w:t>
      </w:r>
    </w:p>
    <w:p>
      <w:pPr>
        <w:spacing w:after="60"/>
      </w:pPr>
      <w:r>
        <w:rPr>
          <w:b/>
        </w:rPr>
        <w:t>Principal Technical Consultant, Solutions Architecture</w:t>
      </w:r>
    </w:p>
    <w:p>
      <w:pPr>
        <w:spacing w:after="60"/>
      </w:pPr>
      <w:r>
        <w:rPr>
          <w:b/>
        </w:rPr>
        <w:t>Lead architect conducting discovery workshops and designing cloud-native data platform solutions for enterprise healthcare clients. Drive architectural decisions and solution positioning for complex, multi-component implementations across AWS and Azure environments.</w:t>
      </w:r>
    </w:p>
    <w:p>
      <w:pPr>
        <w:pStyle w:val="ListBullet"/>
      </w:pPr>
      <w:r>
        <w:t>Architected comprehensive solution framework for major PBM client—conducted discovery workshops with executive leadership to identify strategic data challenges; designed multi-agent AI canonical data model within enterprise governance guardrails spanning claims (NCPDP, ANSI X12 EDI) and regulatory context (FHIR, HIPAA); delivered implementation roadmap and proof-of-concept architecture</w:t>
      </w:r>
    </w:p>
    <w:p>
      <w:pPr>
        <w:pStyle w:val="ListBullet"/>
      </w:pPr>
      <w:r>
        <w:t>Designed enterprise data lakehouse augmentation solutions—architected multi-component solution integrating data stewardship AI agents, event-driven service orchestration, and automated governance validation across 20+ data sources and 3 healthcare domains; validated solution feasibility through proof-of-concept design</w:t>
      </w:r>
    </w:p>
    <w:p>
      <w:pPr>
        <w:pStyle w:val="ListBullet"/>
      </w:pPr>
      <w:r>
        <w:t>Led technical solution presentations to C-level healthcare executives and technical leadership teams—communicated complex multi-agent, event-driven architecture concepts; aligned stakeholders on architectural vision and technical approach</w:t>
      </w:r>
    </w:p>
    <w:p>
      <w:pPr>
        <w:pStyle w:val="Heading2"/>
        <w:spacing w:before="60" w:after="60"/>
      </w:pPr>
      <w:r>
        <w:t>PRICEWATERHOUSECOOPERS (PwC) | Chicago, IL | 2020 – 2023</w:t>
      </w:r>
    </w:p>
    <w:p>
      <w:pPr>
        <w:spacing w:after="60"/>
      </w:pPr>
      <w:r>
        <w:rPr>
          <w:b/>
        </w:rPr>
        <w:t>Director, Advisory | Data Architecture Solutions</w:t>
      </w:r>
    </w:p>
    <w:p>
      <w:pPr>
        <w:spacing w:after="60"/>
      </w:pPr>
      <w:r>
        <w:t>Chief architect and solutions leader directing Data as a Product solutions practice. Led design and delivery of enterprise cloud-native data platform solutions with 50+ distributed team and $5M+ budget across Azure, AWS, and GCP hyperscalers.</w:t>
      </w:r>
    </w:p>
    <w:p>
      <w:pPr>
        <w:pStyle w:val="ListBullet"/>
      </w:pPr>
      <w:r>
        <w:t>Architected hyperscaler-agnostic solutions during strategic platform expansion—conducted discovery workshops across three major hyperscaler environments (Azure, AWS, GCP); designed unified cloud data platform architecture incorporating canonical data model configuration and source-to-target mappings; presented comprehensive architecture strategy to senior partners and platform stakeholders; prevented fragmentation across three enterprise implementations</w:t>
      </w:r>
    </w:p>
    <w:p>
      <w:pPr>
        <w:pStyle w:val="ListBullet"/>
      </w:pPr>
      <w:r>
        <w:t>Led executive-level solution presentations—presented unified platform architecture case to senior partners, enterprise clients, and firm leadership; shaped firm-wide platform architecture strategy and marketing positioning through compelling technical narrative</w:t>
      </w:r>
    </w:p>
    <w:p>
      <w:pPr>
        <w:pStyle w:val="ListBullet"/>
      </w:pPr>
      <w:r>
        <w:t>Developed solutions engineering practice—coached offshore technical teams to evolve from implementation task execution to architecture and solution design leadership; improved solution design depth and client value delivered per engagement</w:t>
      </w:r>
    </w:p>
    <w:p>
      <w:pPr>
        <w:pStyle w:val="Heading2"/>
        <w:spacing w:before="60" w:after="60"/>
      </w:pPr>
      <w:r>
        <w:t>SPR CONSULTING | Chicago, IL | 2018 – 2020</w:t>
      </w:r>
    </w:p>
    <w:p>
      <w:pPr>
        <w:spacing w:after="60"/>
      </w:pPr>
      <w:r>
        <w:rPr>
          <w:b/>
        </w:rPr>
        <w:t>Executive Director, Data, Analytics and Machine Learning</w:t>
      </w:r>
    </w:p>
    <w:p>
      <w:pPr>
        <w:spacing w:after="60"/>
      </w:pPr>
      <w:r>
        <w:t>Practice owner with full P&amp;L responsibility. Led solutions architecture and sales strategy for analytics, business intelligence, AI, and cloud data platform offerings on Azure and AWS. Scaled practice through customer-centric solutions architecture and innovative positioning.</w:t>
      </w:r>
    </w:p>
    <w:p>
      <w:pPr>
        <w:pStyle w:val="ListBullet"/>
      </w:pPr>
      <w:r>
        <w:t>Built data and analytics solutions practice from zero to $4.5M revenue in under 3 years—developed go-to-market strategy emphasizing solutions architecture differentiation; tripled team headcount while maintaining 40%+ profitability; positioned solutions as cloud-agnostic, client-outcome-focused approach</w:t>
      </w:r>
    </w:p>
    <w:p>
      <w:pPr>
        <w:pStyle w:val="ListBullet"/>
      </w:pPr>
      <w:r>
        <w:t>Architected Cloud Data Platform Accelerator—designed reusable, configuration-driven solution template reducing client implementation timelines by 40%; delivered first event-driven cloud data platform proof-of-concept on Azure for global professional services firm; delivered proof-of-concept on AWS for marketing technology client</w:t>
      </w:r>
    </w:p>
    <w:p>
      <w:pPr>
        <w:pStyle w:val="ListBullet"/>
      </w:pPr>
      <w:r>
        <w:t>Increased practice capacity 300% in 12 months—scaled technical team from individual contributors to architects and solutions engineers capable of leading complex pre-sales engagements and proof-of-concept delivery</w:t>
      </w:r>
    </w:p>
    <w:p>
      <w:pPr>
        <w:pStyle w:val="ListBullet"/>
      </w:pPr>
      <w:r>
        <w:t>Positioned modern technology solutions for healthcare and financial services clients—led discovery workshops with enterprise clients; architected multi-component solutions integrating cloud infrastructure, data platforms, integration middleware, and advanced analytics</w:t>
      </w:r>
    </w:p>
    <w:p>
      <w:pPr>
        <w:pStyle w:val="Heading2"/>
        <w:spacing w:before="60" w:after="60"/>
      </w:pPr>
      <w:r>
        <w:t>NVISIA | Chicago, IL | 2012 – 2017</w:t>
      </w:r>
    </w:p>
    <w:p>
      <w:pPr>
        <w:spacing w:after="60"/>
      </w:pPr>
      <w:r>
        <w:rPr>
          <w:b/>
        </w:rPr>
        <w:t>Director, Data Architecture | Solutions Practice Leader</w:t>
      </w:r>
    </w:p>
    <w:p>
      <w:pPr>
        <w:spacing w:after="60"/>
      </w:pPr>
      <w:r>
        <w:t>Created and led company's first Data Architecture Practice from zero to $3M revenue with 40% profit margin. Established solutions offerings across healthcare, financial services, and manufacturing sectors. Full P&amp;L responsibility for practice strategy, service offerings, client engagement, and team development.</w:t>
      </w:r>
    </w:p>
    <w:p>
      <w:pPr>
        <w:pStyle w:val="ListBullet"/>
      </w:pPr>
      <w:r>
        <w:t>Architected solutions for healthcare clients—designed and delivered enterprise data management solutions for benefits management organizations; designed risk assessment engine proof-of-concept for healthcare payor's underwriting unit; established organization's first enterprise data governance capability</w:t>
      </w:r>
    </w:p>
    <w:p>
      <w:pPr>
        <w:pStyle w:val="ListBullet"/>
      </w:pPr>
      <w:r>
        <w:t>Developed reusable solutions architecture and accelerators—created reference architectures and configuration-driven solution templates reducing engagement startup costs 15%; architected and delivered multi-year client engagements on custom application development and integration solutions</w:t>
      </w:r>
    </w:p>
    <w:p>
      <w:pPr>
        <w:pStyle w:val="ListBullet"/>
      </w:pPr>
      <w:r>
        <w:t>Built solutions engineering and sales team—developed marketing and sales strategies for data architecture practice; recruited, coached, and scaled team of project managers, business analysts, consultants, and architects; increased annual revenue $1.5M through effective solutions delivery and new capability development</w:t>
      </w:r>
    </w:p>
    <w:p>
      <w:pPr>
        <w:pStyle w:val="Heading2"/>
        <w:spacing w:before="60" w:after="60"/>
      </w:pPr>
      <w:r>
        <w:t>PSC GROUP | Schaumburg, IL | 2005 – 2012</w:t>
      </w:r>
    </w:p>
    <w:p>
      <w:pPr>
        <w:spacing w:after="60"/>
      </w:pPr>
      <w:r>
        <w:rPr>
          <w:b/>
        </w:rPr>
        <w:t>Vice President, Architecture &amp; Application Development Practice Leader</w:t>
      </w:r>
    </w:p>
    <w:p>
      <w:pPr>
        <w:spacing w:after="60"/>
      </w:pPr>
      <w:r>
        <w:t>Launched Open-source Application Development practice from zero to $2M revenue. Directed 4-year strategic engagement architecting enterprise data management solution for Global Futures Clearing Merchant.</w:t>
      </w:r>
    </w:p>
    <w:p>
      <w:pPr>
        <w:pStyle w:val="ListBullet"/>
      </w:pPr>
      <w:r>
        <w:t>Designed enterprise data management solutions—architected canonical data models supporting worldwide front, middle, and back office operations; designed logical and physical data modeling for global Operational Data Store (ODS) and data warehouse; architected event-driven integration platform connecting multiple enterprise systems</w:t>
      </w:r>
    </w:p>
    <w:p>
      <w:pPr>
        <w:pStyle w:val="ListBullet"/>
      </w:pPr>
      <w:r>
        <w:t>Developed solutions architecture leadership—formalized coaching and mentoring layer; developed "second tier of senior architects" with dedicated professional development; created sustainable solutions engineering and architecture talent pipeline</w:t>
      </w:r>
    </w:p>
    <w:p>
      <w:pPr>
        <w:pStyle w:val="Heading1"/>
        <w:spacing w:before="120" w:after="120"/>
      </w:pPr>
      <w:r>
        <w:t>CAREER FOUNDATION</w:t>
      </w:r>
    </w:p>
    <w:p>
      <w:pPr>
        <w:spacing w:after="60"/>
      </w:pPr>
      <w:r>
        <w:rPr>
          <w:b/>
        </w:rPr>
        <w:t>Senior Technical Architect</w:t>
      </w:r>
      <w:r>
        <w:t xml:space="preserve"> - HCSC (Healthcare Service Corporation): Enterprise architecture and healthcare claims processing domain expertise</w:t>
      </w:r>
    </w:p>
    <w:p>
      <w:pPr>
        <w:spacing w:after="60"/>
      </w:pPr>
      <w:r>
        <w:rPr>
          <w:b/>
        </w:rPr>
        <w:t>Senior Rules Engine Architect</w:t>
      </w:r>
      <w:r>
        <w:t xml:space="preserve"> - Kemper Insurance: Enterprise architecture and business rules domain expertise</w:t>
      </w:r>
    </w:p>
    <w:p>
      <w:pPr>
        <w:pStyle w:val="Heading1"/>
        <w:spacing w:before="120" w:after="120"/>
      </w:pPr>
      <w:r>
        <w:t>EDUCATION &amp; PROFESSIONAL DEVELOPMENT</w:t>
      </w:r>
    </w:p>
    <w:p>
      <w:pPr>
        <w:spacing w:after="60"/>
      </w:pPr>
      <w:r>
        <w:t>Master of Engineering (MEng), Concurrent Design Management — Stevens Institute of Technology, Hoboken, NJ</w:t>
      </w:r>
    </w:p>
    <w:p>
      <w:pPr>
        <w:spacing w:after="60"/>
      </w:pPr>
      <w:r>
        <w:t>Bachelor of Science (BS), Marine Engineering Systems — United States Merchant Marine Academy, Kings Point, NY</w:t>
      </w:r>
    </w:p>
    <w:p>
      <w:pPr>
        <w:spacing w:after="60"/>
      </w:pPr>
      <w:r>
        <w:t>Executive Leadership Development — Booth School of Management, University of Chicago</w:t>
      </w:r>
    </w:p>
    <w:p>
      <w:pPr>
        <w:pStyle w:val="Heading1"/>
        <w:spacing w:before="120" w:after="120"/>
      </w:pPr>
      <w:r>
        <w:t>TECHNICAL ARCHITECTURE EXPERTISE</w:t>
      </w:r>
    </w:p>
    <w:p>
      <w:pPr>
        <w:spacing w:after="60"/>
        <w:ind w:left="360"/>
      </w:pPr>
      <w:r>
        <w:rPr>
          <w:b/>
        </w:rPr>
        <w:t xml:space="preserve">Cloud Platforms: </w:t>
      </w:r>
      <w:r>
        <w:t>Azure (Data Factory, Synapse, Analytics Engine, Event Hubs, Data Lake Storage, Purview), AWS (Glue, Lambda, S3, Redshift, SageMaker, CloudFormation, CDK), GCP (BigQuery, Dataflow)</w:t>
      </w:r>
    </w:p>
    <w:p>
      <w:pPr>
        <w:spacing w:after="60"/>
        <w:ind w:left="360"/>
      </w:pPr>
      <w:r>
        <w:rPr>
          <w:b/>
        </w:rPr>
        <w:t xml:space="preserve">Data &amp; Integration Platforms: </w:t>
      </w:r>
      <w:r>
        <w:t>Databricks (Delta Lake), Apache Spark, Apache Airflow, Informatica Enterprise Integration, MuleSoft ESB, Talend, Tibco</w:t>
      </w:r>
    </w:p>
    <w:p>
      <w:pPr>
        <w:spacing w:after="60"/>
        <w:ind w:left="360"/>
      </w:pPr>
      <w:r>
        <w:rPr>
          <w:b/>
        </w:rPr>
        <w:t xml:space="preserve">Database &amp; Data Warehousing: </w:t>
      </w:r>
      <w:r>
        <w:t>SQL Server, PostgreSQL, Oracle, DB2, Teradata, Hadoop, DynamoDB, Apache Iceberg</w:t>
      </w:r>
    </w:p>
    <w:p>
      <w:pPr>
        <w:spacing w:after="60"/>
        <w:ind w:left="360"/>
      </w:pPr>
      <w:r>
        <w:rPr>
          <w:b/>
        </w:rPr>
        <w:t xml:space="preserve">Architecture Patterns: </w:t>
      </w:r>
      <w:r>
        <w:t>Event-driven architecture | Pub/Sub messaging | CQRS | Microservices | Domain-driven design | Canonical data models | Data mesh | Configuration-driven platforms | API-first design</w:t>
      </w:r>
    </w:p>
    <w:p>
      <w:pPr>
        <w:spacing w:after="60"/>
        <w:ind w:left="360"/>
      </w:pPr>
      <w:r>
        <w:rPr>
          <w:b/>
        </w:rPr>
        <w:t xml:space="preserve">Languages &amp; Tools: </w:t>
      </w:r>
      <w:r>
        <w:t>Python, SQL, Java, NoSQL (MongoDB, Cassandra), UML, Microsoft Power BI, Tableau, Figma</w:t>
      </w:r>
    </w:p>
    <w:p>
      <w:pPr>
        <w:pStyle w:val="Heading1"/>
        <w:spacing w:before="120" w:after="120"/>
      </w:pPr>
      <w:r>
        <w:t>ADDITIONAL INFORMATION</w:t>
      </w:r>
    </w:p>
    <w:p>
      <w:pPr>
        <w:spacing w:after="60"/>
      </w:pPr>
      <w:r>
        <w:rPr>
          <w:b/>
        </w:rPr>
        <w:t xml:space="preserve">Military Service: </w:t>
      </w:r>
      <w:r>
        <w:t>Merchant Marine Engineering Officer, US Navy Reserve</w:t>
      </w:r>
    </w:p>
    <w:p>
      <w:pPr>
        <w:spacing w:after="60"/>
      </w:pPr>
      <w:r>
        <w:rPr>
          <w:b/>
        </w:rPr>
        <w:t xml:space="preserve">Community Leadership: </w:t>
      </w:r>
      <w:r>
        <w:t>15+ years volunteering as Marine Engineering Officer for NROTC—mentored 100+ naval officer candidates; coached leadership development in military technical education context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