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4E79"/>
          <w:sz w:val="22"/>
        </w:rPr>
        <w:t>3CLOUD  ·  PRINCIPAL ARCHITECT — DATA &amp; AI SME  ·  2ND ROUND (60 MIN)</w:t>
      </w:r>
    </w:p>
    <w:p>
      <w:pPr>
        <w:spacing w:before="0" w:after="60"/>
        <w:jc w:val="center"/>
      </w:pPr>
      <w:r>
        <w:rPr>
          <w:rFonts w:ascii="Calibri" w:hAnsi="Calibri"/>
          <w:b w:val="0"/>
          <w:i/>
          <w:color w:val="444444"/>
          <w:sz w:val="15"/>
        </w:rPr>
        <w:t>WAR-ROOM CARD — Michael Vogt — keep off-camera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A00000"/>
          <w:sz w:val="16"/>
        </w:rPr>
        <w:t xml:space="preserve">⚑ COGNIZANT NOW OWNS 3CLOUD (closed Jan 1, 2026). </w:t>
      </w:r>
      <w:r>
        <w:rPr>
          <w:rFonts w:ascii="Calibri" w:hAnsi="Calibri"/>
          <w:b w:val="0"/>
          <w:i w:val="0"/>
          <w:sz w:val="16"/>
        </w:rPr>
        <w:t>Know it. Frame your PwC/Capgemini years as 'deep Azure specialist inside a global SI' = the asset.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544"/>
        <w:gridCol w:w="5544"/>
      </w:tblGrid>
      <w:tr>
        <w:tc>
          <w:tcPr>
            <w:tcW w:type="dxa" w:w="5400"/>
            <w:tcMar>
              <w:top w:w="30" w:type="dxa"/>
              <w:bottom w:w="30" w:type="dxa"/>
              <w:left w:w="0" w:type="dxa"/>
              <w:right w:w="160" w:type="dxa"/>
            </w:tcMar>
          </w:tcPr>
          <w:p>
            <w:r/>
          </w:p>
          <w:p>
            <w:pPr>
              <w:keepNext/>
              <w:spacing w:before="80" w:after="20"/>
              <w:pBdr>
                <w:bottom w:val="single" w:sz="4" w:space="1" w:color="1F4E79"/>
              </w:pBdr>
            </w:pPr>
            <w:r>
              <w:rPr>
                <w:rFonts w:ascii="Calibri" w:hAnsi="Calibri"/>
                <w:b/>
                <w:i w:val="0"/>
                <w:color w:val="1F4E79"/>
                <w:sz w:val="17"/>
              </w:rPr>
              <w:t>60-SEC PITCH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sz w:val="15"/>
              </w:rPr>
              <w:t>MS Azure Data &amp; AI technical evangelist + trusted advisor, 20+ yrs consulting. Turn early client conversations into winning Azure architectures and partner with sales to close.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 w:val="0"/>
                <w:sz w:val="15"/>
              </w:rPr>
              <w:t>Depth: Azure Data Svcs, Synapse, ADF, Azure OpenAI/AI Foundry, Azure Databricks (PwC, AHEAD, SPR). Built 2 practices from zero; closed $500K+ deals; ran $5M+ / 50-person program; competitive POCs (Fabric vs Databricks) + Databricks lakehouse delivery driving multi-yr roadmaps. 2024 Data &amp; AI PoY bench is where I want to be.</w:t>
            </w:r>
          </w:p>
          <w:p>
            <w:pPr>
              <w:keepNext/>
              <w:spacing w:before="80" w:after="20"/>
              <w:pBdr>
                <w:bottom w:val="single" w:sz="4" w:space="1" w:color="1F4E79"/>
              </w:pBdr>
            </w:pPr>
            <w:r>
              <w:rPr>
                <w:rFonts w:ascii="Calibri" w:hAnsi="Calibri"/>
                <w:b/>
                <w:i w:val="0"/>
                <w:color w:val="1F4E79"/>
                <w:sz w:val="17"/>
              </w:rPr>
              <w:t>3 PILLARS — KEEP RETURNING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Azure Data &amp; AI technical depth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Pre-sales: discovery→whiteboard→POV→close, WITH sellers</w:t>
            </w:r>
          </w:p>
          <w:p>
            <w:pPr>
              <w:spacing w:before="0" w:after="4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Credibility: I've delivered what I sell ($500K+, multi-yr roadmaps)</w:t>
            </w:r>
          </w:p>
          <w:p>
            <w:pPr>
              <w:keepNext/>
              <w:spacing w:before="80" w:after="20"/>
              <w:pBdr>
                <w:bottom w:val="single" w:sz="4" w:space="1" w:color="1F4E79"/>
              </w:pBdr>
            </w:pPr>
            <w:r>
              <w:rPr>
                <w:rFonts w:ascii="Calibri" w:hAnsi="Calibri"/>
                <w:b/>
                <w:i w:val="0"/>
                <w:color w:val="1F4E79"/>
                <w:sz w:val="17"/>
              </w:rPr>
              <w:t>PRE-SALES MOTION (say it out loud)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Discovery FIRST — priorities, decision criteria, value drivers; tie KPIs to each objective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Qualify — budget, sponsor, timeline, data readiness; qualify honestly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Options not one answer — phased: govern+land lakehouse → prove use case → expand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Prove value fast — time-boxed POV, stakeholder gate, 'value early &amp; often'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Estimate + staff realistically (repeatable frameworks)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Tell the exec value story — outcomes, feasibility, ROI</w:t>
            </w:r>
          </w:p>
          <w:p>
            <w:pPr>
              <w:spacing w:before="0" w:after="40" w:line="240" w:lineRule="auto"/>
            </w:pPr>
            <w:r>
              <w:rPr>
                <w:rFonts w:ascii="Calibri" w:hAnsi="Calibri"/>
                <w:b w:val="0"/>
                <w:i/>
                <w:sz w:val="15"/>
              </w:rPr>
              <w:t>Meta: "I slow down at discovery so the solution's right, then move fast on a value-proving POV."</w:t>
            </w:r>
          </w:p>
          <w:p>
            <w:pPr>
              <w:keepNext/>
              <w:spacing w:before="80" w:after="20"/>
              <w:pBdr>
                <w:bottom w:val="single" w:sz="4" w:space="1" w:color="1F4E79"/>
              </w:pBdr>
            </w:pPr>
            <w:r>
              <w:rPr>
                <w:rFonts w:ascii="Calibri" w:hAnsi="Calibri"/>
                <w:b/>
                <w:i w:val="0"/>
                <w:color w:val="1F4E79"/>
                <w:sz w:val="17"/>
              </w:rPr>
              <w:t>GAP REFRAMES (don't volunteer)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Azure certs: </w:t>
            </w:r>
            <w:r>
              <w:rPr>
                <w:rFonts w:ascii="Calibri" w:hAnsi="Calibri"/>
                <w:b w:val="0"/>
                <w:i w:val="0"/>
                <w:sz w:val="15"/>
              </w:rPr>
              <w:t>AWS CP only. "Formalizing with AZ-305 / DP-600 — sitting it [DATE]." SCHEDULE ONE.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Azure OpenAI/Foundry: </w:t>
            </w:r>
            <w:r>
              <w:rPr>
                <w:rFonts w:ascii="Calibri" w:hAnsi="Calibri"/>
                <w:b w:val="0"/>
                <w:i w:val="0"/>
                <w:sz w:val="15"/>
              </w:rPr>
              <w:t>"I run RAG + multi-agent + local GPU inference hands-on — same patterns, built at the metal." Turns gap into depth gain.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Pre-sales vs practice-builder: </w:t>
            </w:r>
            <w:r>
              <w:rPr>
                <w:rFonts w:ascii="Calibri" w:hAnsi="Calibri"/>
                <w:b w:val="0"/>
                <w:i w:val="0"/>
                <w:sz w:val="15"/>
              </w:rPr>
              <w:t>"I've done the whole BD motion solo — partnering WITH a seller is the easier version; I bring the credibility that converts."</w:t>
            </w:r>
          </w:p>
        </w:tc>
        <w:tc>
          <w:tcPr>
            <w:tcW w:type="dxa" w:w="5400"/>
            <w:tcMar>
              <w:top w:w="30" w:type="dxa"/>
              <w:bottom w:w="30" w:type="dxa"/>
              <w:left w:w="160" w:type="dxa"/>
              <w:right w:w="0" w:type="dxa"/>
            </w:tcMar>
          </w:tcPr>
          <w:p>
            <w:r/>
          </w:p>
          <w:p>
            <w:pPr>
              <w:keepNext/>
              <w:spacing w:before="80" w:after="20"/>
              <w:pBdr>
                <w:bottom w:val="single" w:sz="4" w:space="1" w:color="1F4E79"/>
              </w:pBdr>
            </w:pPr>
            <w:r>
              <w:rPr>
                <w:rFonts w:ascii="Calibri" w:hAnsi="Calibri"/>
                <w:b/>
                <w:i w:val="0"/>
                <w:color w:val="1F4E79"/>
                <w:sz w:val="17"/>
              </w:rPr>
              <w:t>STORY BANK (90 sec each)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A · Fabric-vs-Databricks POC (SPR, medical provider): </w:t>
            </w:r>
            <w:r>
              <w:rPr>
                <w:rFonts w:ascii="Calibri" w:hAnsi="Calibri"/>
                <w:b w:val="0"/>
                <w:i w:val="0"/>
                <w:sz w:val="15"/>
              </w:rPr>
              <w:t>Built/tested both; recommended DATABRICKS; ADR+exec briefing. Objective + dual-platform fluency. (Your true Fabric story.)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B · $4.5M practice / zero (SPR): </w:t>
            </w:r>
            <w:r>
              <w:rPr>
                <w:rFonts w:ascii="Calibri" w:hAnsi="Calibri"/>
                <w:b w:val="0"/>
                <w:i w:val="0"/>
                <w:sz w:val="15"/>
              </w:rPr>
              <w:t>$500K+ deals, estimation frameworks, accelerator cut go-live 40%.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C · $5M+ program, 50+ (PwC): </w:t>
            </w:r>
            <w:r>
              <w:rPr>
                <w:rFonts w:ascii="Calibri" w:hAnsi="Calibri"/>
                <w:b w:val="0"/>
                <w:i w:val="0"/>
                <w:sz w:val="15"/>
              </w:rPr>
              <w:t>Data-as-Product CDM firm-wide; resolved C-level MVP-vs-prod in real time.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D · HIPAA multi-tenant on AWS (AHEAD): </w:t>
            </w:r>
            <w:r>
              <w:rPr>
                <w:rFonts w:ascii="Calibri" w:hAnsi="Calibri"/>
                <w:b w:val="0"/>
                <w:i w:val="0"/>
                <w:sz w:val="15"/>
              </w:rPr>
              <w:t>PBM, 20+ sources; ABAC/RLS for PHI, lineage+audit. Regulated cred; arch ports to Azure/Purview. (NOT Azure.)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E · Platform-selection ADRs: </w:t>
            </w:r>
            <w:r>
              <w:rPr>
                <w:rFonts w:ascii="Calibri" w:hAnsi="Calibri"/>
                <w:b w:val="0"/>
                <w:i w:val="0"/>
                <w:sz w:val="15"/>
              </w:rPr>
              <w:t>e.g. Snowflake vs Redshift; defend recommendations to a skeptical CFO → capital decisions.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F · Roving catalyst (SPR/NVISIA): </w:t>
            </w:r>
            <w:r>
              <w:rPr>
                <w:rFonts w:ascii="Calibri" w:hAnsi="Calibri"/>
                <w:b w:val="0"/>
                <w:i w:val="0"/>
                <w:sz w:val="15"/>
              </w:rPr>
              <w:t>Parachute into in-flight projects; expand accounts; player-coach.</w:t>
            </w:r>
          </w:p>
          <w:p>
            <w:pPr>
              <w:keepNext/>
              <w:spacing w:before="80" w:after="20"/>
              <w:pBdr>
                <w:bottom w:val="single" w:sz="4" w:space="1" w:color="1F4E79"/>
              </w:pBdr>
            </w:pPr>
            <w:r>
              <w:rPr>
                <w:rFonts w:ascii="Calibri" w:hAnsi="Calibri"/>
                <w:b/>
                <w:i w:val="0"/>
                <w:color w:val="1F4E79"/>
                <w:sz w:val="17"/>
              </w:rPr>
              <w:t>TECH ONE-LINERS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Fabric vs Databricks: </w:t>
            </w:r>
            <w:r>
              <w:rPr>
                <w:rFonts w:ascii="Calibri" w:hAnsi="Calibri"/>
                <w:b w:val="0"/>
                <w:i w:val="0"/>
                <w:sz w:val="15"/>
              </w:rPr>
              <w:t>BI-led + SaaS-simple → Fabric; engineering/ML + scale → Databricks; often BOTH over one OneLake/Delta. My hands-on Fabric = the POC; deep lakehouse = Databricks.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RAG on Azure: </w:t>
            </w:r>
            <w:r>
              <w:rPr>
                <w:rFonts w:ascii="Calibri" w:hAnsi="Calibri"/>
                <w:b w:val="0"/>
                <w:i w:val="0"/>
                <w:sz w:val="15"/>
              </w:rPr>
              <w:t>ingest→chunk→embed→vector (AI Search)→retrieve→Azure OpenAI→orchestrate→ground on canonical data→eval+logging+safety+HITL.</w:t>
            </w:r>
          </w:p>
          <w:p>
            <w:pPr>
              <w:spacing w:before="0" w:after="3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/>
                <w:i w:val="0"/>
                <w:color w:val="1F4E79"/>
                <w:sz w:val="15"/>
              </w:rPr>
              <w:t xml:space="preserve">Governance: </w:t>
            </w:r>
            <w:r>
              <w:rPr>
                <w:rFonts w:ascii="Calibri" w:hAnsi="Calibri"/>
                <w:b w:val="0"/>
                <w:i w:val="0"/>
                <w:sz w:val="15"/>
              </w:rPr>
              <w:t>Unity Catalog (Databricks) + Purview (estate-wide); medallion bronze→silver→gold.</w:t>
            </w:r>
          </w:p>
          <w:p>
            <w:pPr>
              <w:keepNext/>
              <w:spacing w:before="80" w:after="20"/>
              <w:pBdr>
                <w:bottom w:val="single" w:sz="4" w:space="1" w:color="1F4E79"/>
              </w:pBdr>
            </w:pPr>
            <w:r>
              <w:rPr>
                <w:rFonts w:ascii="Calibri" w:hAnsi="Calibri"/>
                <w:b/>
                <w:i w:val="0"/>
                <w:color w:val="1F4E79"/>
                <w:sz w:val="17"/>
              </w:rPr>
              <w:t>ASK THEM (pick 3-4)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Post-Cognizant: how does the practice / this role operate now?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How is SME success measured — pipeline, POVs, win rate, deals?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Where's demand — Fabric migrations, Databricks, or GenAI/agentic?</w:t>
            </w:r>
          </w:p>
          <w:p>
            <w:pPr>
              <w:spacing w:before="0" w:after="2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How do you use accelerators/IP in pursuits? (I built one, -40% go-live)</w:t>
            </w:r>
          </w:p>
          <w:p>
            <w:pPr>
              <w:spacing w:before="0" w:after="40" w:line="240" w:lineRule="auto"/>
              <w:ind w:left="173" w:hanging="173"/>
            </w:pPr>
            <w:r>
              <w:rPr>
                <w:rFonts w:ascii="Calibri" w:hAnsi="Calibri"/>
                <w:b w:val="0"/>
                <w:i w:val="0"/>
                <w:color w:val="1F4E79"/>
                <w:sz w:val="15"/>
              </w:rPr>
              <w:t xml:space="preserve">• </w:t>
            </w:r>
            <w:r>
              <w:rPr>
                <w:rFonts w:ascii="Calibri" w:hAnsi="Calibri"/>
                <w:b w:val="0"/>
                <w:i w:val="0"/>
                <w:sz w:val="15"/>
              </w:rPr>
              <w:t>First 90 days; what does 'this hire is working' look like at 6 mo?</w:t>
            </w:r>
          </w:p>
          <w:p>
            <w:pPr>
              <w:keepNext/>
              <w:spacing w:before="80" w:after="20"/>
              <w:pBdr>
                <w:bottom w:val="single" w:sz="4" w:space="1" w:color="1F4E79"/>
              </w:pBdr>
            </w:pPr>
            <w:r>
              <w:rPr>
                <w:rFonts w:ascii="Calibri" w:hAnsi="Calibri"/>
                <w:b/>
                <w:i w:val="0"/>
                <w:color w:val="1F4E79"/>
                <w:sz w:val="17"/>
              </w:rPr>
              <w:t>CLOSE (last 2 min)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/>
                <w:sz w:val="15"/>
              </w:rPr>
              <w:t>"This is the role I do best — deep Azure Data &amp; AI, evangelist + close, on the best MS bench."</w:t>
            </w:r>
          </w:p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sz w:val="15"/>
              </w:rPr>
              <w:t>Ask next steps + timeline. "Anything you want me sharper on? I'll come back on it." Same-day thank-you.</w:t>
            </w:r>
          </w:p>
        </w:tc>
      </w:tr>
    </w:tbl>
    <w:p>
      <w:pPr>
        <w:spacing w:before="60" w:after="0"/>
        <w:jc w:val="center"/>
      </w:pPr>
      <w:r>
        <w:rPr>
          <w:rFonts w:ascii="Calibri" w:hAnsi="Calibri"/>
          <w:b w:val="0"/>
          <w:i/>
          <w:color w:val="444444"/>
          <w:sz w:val="14"/>
        </w:rPr>
        <w:t>Posting expires Mon Jun 22 · virtual-first · ⚑FIX RESUME: Fabric=SPR POC (DBX won), PBM=AWS · Discovery-first · trade-offs · candor · player-coach.</w:t>
      </w:r>
    </w:p>
    <w:p>
      <w:r>
        <w:br w:type="page"/>
      </w:r>
    </w:p>
    <w:p>
      <w:pPr>
        <w:spacing w:after="20"/>
        <w:jc w:val="center"/>
      </w:pPr>
      <w:r>
        <w:rPr>
          <w:rFonts w:ascii="Calibri" w:hAnsi="Calibri"/>
          <w:b/>
          <w:i w:val="0"/>
          <w:color w:val="1F4E79"/>
          <w:sz w:val="22"/>
        </w:rPr>
        <w:t>FABRIC &amp; DATABRICKS — TECH COMPONENT MAP (know the building blocks)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444444"/>
          <w:sz w:val="15"/>
        </w:rPr>
        <w:t>Both run on Azure over Delta/OneLake — name the right component per layer.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96"/>
        <w:gridCol w:w="3696"/>
        <w:gridCol w:w="3696"/>
      </w:tblGrid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  <w:shd w:val="clear" w:fill="1F4E79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Layer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  <w:shd w:val="clear" w:fill="1F4E79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Microsoft Fabric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  <w:shd w:val="clear" w:fill="1F4E79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Azure Databricks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Storage / lake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OneLake (one logical lake; Delta/Parquet); Shortcuts; Mirroring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ADLS Gen2 + Delta Lake (UC managed/external); Delta Sharing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Table format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Delta; Iceberg (preview)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Delta Lake; UniForm (read as Iceberg/Hudi); Iceberg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Compute / engine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Spark (Fabric runtime); SQL analytics endpoint; Warehouse (T-SQL)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Spark clusters (job/all-purpose); Photon; Serverless SQL warehouses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Ingestion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Data Factory pipelines; Dataflows Gen2; Copy job; Mirroring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Lakeflow Connect; Auto Loader; Structured Streaming; partner connectors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ELT / transform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Notebooks (PySpark/SQL); Dataflows Gen2; T-SQL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Notebooks; Lakeflow Declarative Pipelines (was DLT); dbt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Orchestration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Fabric Data Factory pipelines + scheduler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Lakeflow Jobs (was Workflows); Asset Bundles (DABs)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Catalog / govern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OneLake catalog; Domains; Purview; workspace roles; sensitivity labels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Unity Catalog (catalog→schema→table); lineage; ABAC, row/column masks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Semantic / BI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Power BI: Direct Lake / Import / DirectQuery; semantic models; Copilot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Databricks SQL; AI/BI Dashboards; Genie (NL→SQL); Power BI connector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Real-time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Real-Time Intelligence: Eventstream, Eventhouse (KQL), Activator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Structured Streaming; streaming tables; Kafka / Event Hubs connectors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ML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Data Science: MLflow, SynapseML, AutoML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Mosaic AI: Feature Store, AutoML, MLflow, Model Registry, Model Serving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GenAI / LLM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Azure OpenAI integration; AI Skills; Fabric Copilot; Copilot Studio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Mosaic AI: Vector Search, Agent Framework, Foundation Model APIs, AI Gateway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DevOps / CI-CD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Git integration; deployment pipelines (dev/test/prod)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Asset Bundles (DABs); Terraform provider; Repos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Security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Entra ID; workspace roles; Purview labels; private link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Unity Catalog perms; Entra/SCIM; secrets; cluster policies; private link</w:t>
            </w:r>
          </w:p>
        </w:tc>
      </w:tr>
      <w:tr>
        <w:tc>
          <w:tcPr>
            <w:tcW w:type="dxa" w:w="165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/>
                <w:i w:val="0"/>
                <w:color w:val="1F4E79"/>
                <w:sz w:val="13"/>
              </w:rPr>
              <w:t>Capacity / cost</w:t>
            </w:r>
          </w:p>
        </w:tc>
        <w:tc>
          <w:tcPr>
            <w:tcW w:type="dxa" w:w="4536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Capacity SKU (F-SKU; F64 = Copilot threshold); pause non-prod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  <w:shd w:val="clear" w:fill="EEF2F8"/>
          </w:tcPr>
          <w:p>
            <w:pPr>
              <w:spacing w:before="10" w:after="10" w:line="240" w:lineRule="auto"/>
            </w:pPr>
            <w:r>
              <w:rPr>
                <w:rFonts w:ascii="Calibri" w:hAnsi="Calibri"/>
                <w:b w:val="0"/>
                <w:i w:val="0"/>
                <w:sz w:val="13"/>
              </w:rPr>
              <w:t>DBUs (job/all-purpose/SQL); serverless; Photon; spot; autoscale</w:t>
            </w:r>
          </w:p>
        </w:tc>
      </w:tr>
    </w:tbl>
    <w:p>
      <w:pPr>
        <w:spacing w:before="80" w:after="0"/>
      </w:pPr>
      <w:r>
        <w:rPr>
          <w:rFonts w:ascii="Calibri" w:hAnsi="Calibri"/>
          <w:b/>
          <w:i w:val="0"/>
          <w:color w:val="1F4E79"/>
          <w:sz w:val="14"/>
        </w:rPr>
        <w:t xml:space="preserve">Naming gotchas: </w:t>
      </w:r>
      <w:r>
        <w:rPr>
          <w:rFonts w:ascii="Calibri" w:hAnsi="Calibri"/>
          <w:b w:val="0"/>
          <w:i w:val="0"/>
          <w:sz w:val="14"/>
        </w:rPr>
        <w:t>Databricks 'Lakeflow' = Connect (ingest) + Declarative Pipelines (was DLT) + Jobs (was Workflows).  Fabric Direct Lake = query OneLake Delta with no import/refresh.  UniForm = Delta readable as Iceberg.  Both: medallion bronze→silver→gold.  Pick by center of gravity — BI/SaaS → Fabric; engineering/ML/scale → Databricks; often both over one Delta copy.</w:t>
      </w:r>
    </w:p>
    <w:sectPr w:rsidR="00FC693F" w:rsidRPr="0006063C" w:rsidSect="00034616">
      <w:pgSz w:w="12240" w:h="15840"/>
      <w:pgMar w:top="504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