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0EF4" w:rsidRDefault="00C44F24" w:rsidP="00310783">
      <w:pPr>
        <w:pStyle w:val="Heading1"/>
      </w:pPr>
      <w:r>
        <w:t xml:space="preserve">Gift deed – Fee calculation logic </w:t>
      </w:r>
    </w:p>
    <w:p w:rsidR="00241B48" w:rsidRDefault="00241B48" w:rsidP="000E4452">
      <w:pPr>
        <w:pStyle w:val="Heading2"/>
      </w:pPr>
      <w:r w:rsidRPr="00241B48">
        <w:t>Scope</w:t>
      </w:r>
    </w:p>
    <w:p w:rsidR="00355669" w:rsidRPr="00355669" w:rsidRDefault="00355669" w:rsidP="00553103">
      <w:pPr>
        <w:jc w:val="both"/>
        <w:rPr>
          <w:color w:val="000000" w:themeColor="text1"/>
        </w:rPr>
      </w:pPr>
      <w:r w:rsidRPr="00355669">
        <w:rPr>
          <w:bCs/>
          <w:color w:val="000000" w:themeColor="text1"/>
        </w:rPr>
        <w:t xml:space="preserve">This document describes the </w:t>
      </w:r>
      <w:r w:rsidR="00C44F24">
        <w:rPr>
          <w:bCs/>
          <w:color w:val="000000" w:themeColor="text1"/>
        </w:rPr>
        <w:t xml:space="preserve">fee calculation logic for </w:t>
      </w:r>
      <w:r w:rsidR="00553103">
        <w:rPr>
          <w:bCs/>
          <w:color w:val="000000" w:themeColor="text1"/>
        </w:rPr>
        <w:t xml:space="preserve">the </w:t>
      </w:r>
      <w:r w:rsidR="00C44F24">
        <w:rPr>
          <w:bCs/>
          <w:color w:val="000000" w:themeColor="text1"/>
        </w:rPr>
        <w:t>Gift deed article</w:t>
      </w:r>
      <w:r w:rsidR="00553103">
        <w:rPr>
          <w:bCs/>
          <w:color w:val="000000" w:themeColor="text1"/>
        </w:rPr>
        <w:t>,</w:t>
      </w:r>
      <w:r w:rsidR="00C44F24">
        <w:rPr>
          <w:bCs/>
          <w:color w:val="000000" w:themeColor="text1"/>
        </w:rPr>
        <w:t xml:space="preserve"> </w:t>
      </w:r>
      <w:r w:rsidR="00553103">
        <w:rPr>
          <w:bCs/>
          <w:color w:val="000000" w:themeColor="text1"/>
        </w:rPr>
        <w:t>where</w:t>
      </w:r>
      <w:r w:rsidR="00C44F24">
        <w:rPr>
          <w:bCs/>
          <w:color w:val="000000" w:themeColor="text1"/>
        </w:rPr>
        <w:t xml:space="preserve"> the done is a member of the family of the donor</w:t>
      </w:r>
      <w:r w:rsidRPr="00355669">
        <w:rPr>
          <w:bCs/>
          <w:color w:val="000000" w:themeColor="text1"/>
        </w:rPr>
        <w:t>.</w:t>
      </w:r>
      <w:r w:rsidRPr="00355669">
        <w:rPr>
          <w:color w:val="000000" w:themeColor="text1"/>
        </w:rPr>
        <w:t> The draft has been prepared by the Centre for Smart Governance (CSG) and requires approval from the department. The intended audience includes the departmental approving authority and the CSG development team.</w:t>
      </w:r>
    </w:p>
    <w:p w:rsidR="00B565D4" w:rsidRDefault="000C4862" w:rsidP="000E4452">
      <w:pPr>
        <w:pStyle w:val="Heading2"/>
      </w:pPr>
      <w:r>
        <w:t xml:space="preserve">Fee </w:t>
      </w:r>
      <w:r w:rsidRPr="000E4452">
        <w:t>calculation</w:t>
      </w:r>
      <w:r>
        <w:t xml:space="preserve"> logic</w:t>
      </w:r>
    </w:p>
    <w:p w:rsidR="00C239B4" w:rsidRDefault="00845FAD" w:rsidP="00C239B4">
      <w:pPr>
        <w:rPr>
          <w:rFonts w:cstheme="minorHAnsi"/>
          <w:color w:val="000000" w:themeColor="text1"/>
        </w:rPr>
      </w:pPr>
      <w:r>
        <w:rPr>
          <w:rFonts w:cstheme="minorHAnsi"/>
          <w:color w:val="000000" w:themeColor="text1"/>
        </w:rPr>
        <w:t>According to t</w:t>
      </w:r>
      <w:r w:rsidR="00C239B4">
        <w:rPr>
          <w:rFonts w:cstheme="minorHAnsi"/>
          <w:color w:val="000000" w:themeColor="text1"/>
        </w:rPr>
        <w:t xml:space="preserve">he </w:t>
      </w:r>
      <w:r w:rsidR="000C4862" w:rsidRPr="000C4862">
        <w:rPr>
          <w:rFonts w:cstheme="minorHAnsi"/>
          <w:color w:val="000000" w:themeColor="text1"/>
        </w:rPr>
        <w:t xml:space="preserve">Karnataka Stamp Act, 1957 – </w:t>
      </w:r>
    </w:p>
    <w:p w:rsidR="000C4862" w:rsidRPr="00BB63B5" w:rsidRDefault="000C4862" w:rsidP="00C239B4">
      <w:pPr>
        <w:rPr>
          <w:rFonts w:cstheme="minorHAnsi"/>
          <w:color w:val="000000" w:themeColor="text1"/>
        </w:rPr>
      </w:pPr>
      <w:r w:rsidRPr="000C4862">
        <w:rPr>
          <w:rFonts w:cstheme="minorHAnsi"/>
          <w:color w:val="000000" w:themeColor="text1"/>
        </w:rPr>
        <w:t>Article 2</w:t>
      </w:r>
      <w:r w:rsidR="00C239B4">
        <w:rPr>
          <w:rFonts w:cstheme="minorHAnsi"/>
          <w:color w:val="000000" w:themeColor="text1"/>
        </w:rPr>
        <w:t xml:space="preserve">8 - </w:t>
      </w:r>
      <w:r w:rsidRPr="000C4862">
        <w:rPr>
          <w:rFonts w:cstheme="minorHAnsi"/>
          <w:color w:val="000000" w:themeColor="text1"/>
        </w:rPr>
        <w:t>Gift-Instrument of</w:t>
      </w:r>
      <w:r w:rsidR="00C239B4">
        <w:rPr>
          <w:rFonts w:cstheme="minorHAnsi"/>
          <w:color w:val="000000" w:themeColor="text1"/>
        </w:rPr>
        <w:t xml:space="preserve"> - </w:t>
      </w:r>
      <w:r w:rsidRPr="000C4862">
        <w:rPr>
          <w:rFonts w:cstheme="minorHAnsi"/>
          <w:i/>
          <w:iCs/>
          <w:color w:val="000000" w:themeColor="text1"/>
        </w:rPr>
        <w:t>Not being a Settlement (No. 48) or Will or Transfer (No. 52)</w:t>
      </w:r>
      <w:r w:rsidR="00BB63B5">
        <w:rPr>
          <w:rFonts w:cstheme="minorHAnsi"/>
          <w:i/>
          <w:iCs/>
          <w:color w:val="000000" w:themeColor="text1"/>
        </w:rPr>
        <w:t xml:space="preserve"> </w:t>
      </w:r>
      <w:r w:rsidR="00BB63B5" w:rsidRPr="00BB63B5">
        <w:rPr>
          <w:rFonts w:cstheme="minorHAnsi"/>
          <w:iCs/>
          <w:color w:val="000000" w:themeColor="text1"/>
        </w:rPr>
        <w:t>(Refer Annexure)</w:t>
      </w:r>
    </w:p>
    <w:p w:rsidR="000C4862" w:rsidRPr="000C4862" w:rsidRDefault="000C4862" w:rsidP="00C239B4">
      <w:pPr>
        <w:rPr>
          <w:rFonts w:cstheme="minorHAnsi"/>
          <w:color w:val="000000" w:themeColor="text1"/>
        </w:rPr>
      </w:pPr>
      <w:r w:rsidRPr="000C4862">
        <w:rPr>
          <w:rFonts w:cstheme="minorHAnsi"/>
          <w:b/>
          <w:bCs/>
          <w:color w:val="000000" w:themeColor="text1"/>
        </w:rPr>
        <w:t xml:space="preserve">(b) Where the </w:t>
      </w:r>
      <w:proofErr w:type="spellStart"/>
      <w:r w:rsidR="00553103">
        <w:rPr>
          <w:rFonts w:cstheme="minorHAnsi"/>
          <w:b/>
          <w:bCs/>
          <w:color w:val="000000" w:themeColor="text1"/>
        </w:rPr>
        <w:t>D</w:t>
      </w:r>
      <w:r w:rsidRPr="000C4862">
        <w:rPr>
          <w:rFonts w:cstheme="minorHAnsi"/>
          <w:b/>
          <w:bCs/>
          <w:color w:val="000000" w:themeColor="text1"/>
        </w:rPr>
        <w:t>onee</w:t>
      </w:r>
      <w:proofErr w:type="spellEnd"/>
      <w:r w:rsidRPr="000C4862">
        <w:rPr>
          <w:rFonts w:cstheme="minorHAnsi"/>
          <w:b/>
          <w:bCs/>
          <w:color w:val="000000" w:themeColor="text1"/>
        </w:rPr>
        <w:t xml:space="preserve"> IS a family member of the donor:</w:t>
      </w:r>
    </w:p>
    <w:p w:rsidR="00C239B4" w:rsidRPr="00C239B4" w:rsidRDefault="000C4862" w:rsidP="00C239B4">
      <w:pPr>
        <w:pStyle w:val="ListParagraph"/>
        <w:numPr>
          <w:ilvl w:val="0"/>
          <w:numId w:val="23"/>
        </w:numPr>
        <w:rPr>
          <w:rFonts w:asciiTheme="minorHAnsi" w:hAnsiTheme="minorHAnsi" w:cstheme="minorHAnsi"/>
          <w:color w:val="000000" w:themeColor="text1"/>
          <w:sz w:val="22"/>
        </w:rPr>
      </w:pPr>
      <w:r w:rsidRPr="00C239B4">
        <w:rPr>
          <w:rFonts w:asciiTheme="minorHAnsi" w:hAnsiTheme="minorHAnsi" w:cstheme="minorHAnsi"/>
          <w:bCs/>
          <w:color w:val="000000" w:themeColor="text1"/>
          <w:sz w:val="22"/>
        </w:rPr>
        <w:t>Property within BMRDA/BBMP/City Corporation limits</w:t>
      </w:r>
      <w:r w:rsidRPr="00C239B4">
        <w:rPr>
          <w:rFonts w:asciiTheme="minorHAnsi" w:hAnsiTheme="minorHAnsi" w:cstheme="minorHAnsi"/>
          <w:color w:val="000000" w:themeColor="text1"/>
          <w:sz w:val="22"/>
        </w:rPr>
        <w:t>: </w:t>
      </w:r>
      <w:r w:rsidRPr="00C239B4">
        <w:rPr>
          <w:rFonts w:asciiTheme="minorHAnsi" w:hAnsiTheme="minorHAnsi" w:cstheme="minorHAnsi"/>
          <w:bCs/>
          <w:color w:val="000000" w:themeColor="text1"/>
          <w:sz w:val="22"/>
        </w:rPr>
        <w:t>₹5,000</w:t>
      </w:r>
      <w:r w:rsidRPr="00C239B4">
        <w:rPr>
          <w:rFonts w:asciiTheme="minorHAnsi" w:hAnsiTheme="minorHAnsi" w:cstheme="minorHAnsi"/>
          <w:color w:val="000000" w:themeColor="text1"/>
          <w:sz w:val="22"/>
        </w:rPr>
        <w:t>.</w:t>
      </w:r>
    </w:p>
    <w:p w:rsidR="00C239B4" w:rsidRPr="00C239B4" w:rsidRDefault="000C4862" w:rsidP="00C239B4">
      <w:pPr>
        <w:pStyle w:val="ListParagraph"/>
        <w:numPr>
          <w:ilvl w:val="0"/>
          <w:numId w:val="23"/>
        </w:numPr>
        <w:rPr>
          <w:rFonts w:asciiTheme="minorHAnsi" w:hAnsiTheme="minorHAnsi" w:cstheme="minorHAnsi"/>
          <w:color w:val="000000" w:themeColor="text1"/>
          <w:sz w:val="22"/>
        </w:rPr>
      </w:pPr>
      <w:r w:rsidRPr="00C239B4">
        <w:rPr>
          <w:rFonts w:asciiTheme="minorHAnsi" w:hAnsiTheme="minorHAnsi" w:cstheme="minorHAnsi"/>
          <w:bCs/>
          <w:color w:val="000000" w:themeColor="text1"/>
          <w:sz w:val="22"/>
        </w:rPr>
        <w:t>Property within City/Town Municipal Council/Town Panchayat limits</w:t>
      </w:r>
      <w:r w:rsidRPr="00C239B4">
        <w:rPr>
          <w:rFonts w:asciiTheme="minorHAnsi" w:hAnsiTheme="minorHAnsi" w:cstheme="minorHAnsi"/>
          <w:color w:val="000000" w:themeColor="text1"/>
          <w:sz w:val="22"/>
        </w:rPr>
        <w:t>: </w:t>
      </w:r>
      <w:r w:rsidRPr="00C239B4">
        <w:rPr>
          <w:rFonts w:asciiTheme="minorHAnsi" w:hAnsiTheme="minorHAnsi" w:cstheme="minorHAnsi"/>
          <w:bCs/>
          <w:color w:val="000000" w:themeColor="text1"/>
          <w:sz w:val="22"/>
        </w:rPr>
        <w:t>₹3,000</w:t>
      </w:r>
      <w:r w:rsidRPr="00C239B4">
        <w:rPr>
          <w:rFonts w:asciiTheme="minorHAnsi" w:hAnsiTheme="minorHAnsi" w:cstheme="minorHAnsi"/>
          <w:color w:val="000000" w:themeColor="text1"/>
          <w:sz w:val="22"/>
        </w:rPr>
        <w:t>.</w:t>
      </w:r>
    </w:p>
    <w:p w:rsidR="000C4862" w:rsidRPr="00C239B4" w:rsidRDefault="000C4862" w:rsidP="00C239B4">
      <w:pPr>
        <w:pStyle w:val="ListParagraph"/>
        <w:numPr>
          <w:ilvl w:val="0"/>
          <w:numId w:val="23"/>
        </w:numPr>
        <w:rPr>
          <w:rFonts w:asciiTheme="minorHAnsi" w:hAnsiTheme="minorHAnsi" w:cstheme="minorHAnsi"/>
          <w:color w:val="000000" w:themeColor="text1"/>
          <w:sz w:val="22"/>
        </w:rPr>
      </w:pPr>
      <w:r w:rsidRPr="00C239B4">
        <w:rPr>
          <w:rFonts w:asciiTheme="minorHAnsi" w:hAnsiTheme="minorHAnsi" w:cstheme="minorHAnsi"/>
          <w:bCs/>
          <w:color w:val="000000" w:themeColor="text1"/>
          <w:sz w:val="22"/>
        </w:rPr>
        <w:t>Property in other areas</w:t>
      </w:r>
      <w:r w:rsidRPr="00C239B4">
        <w:rPr>
          <w:rFonts w:asciiTheme="minorHAnsi" w:hAnsiTheme="minorHAnsi" w:cstheme="minorHAnsi"/>
          <w:color w:val="000000" w:themeColor="text1"/>
          <w:sz w:val="22"/>
        </w:rPr>
        <w:t>: </w:t>
      </w:r>
      <w:r w:rsidRPr="00C239B4">
        <w:rPr>
          <w:rFonts w:asciiTheme="minorHAnsi" w:hAnsiTheme="minorHAnsi" w:cstheme="minorHAnsi"/>
          <w:bCs/>
          <w:color w:val="000000" w:themeColor="text1"/>
          <w:sz w:val="22"/>
        </w:rPr>
        <w:t>₹1,000</w:t>
      </w:r>
      <w:r w:rsidRPr="00C239B4">
        <w:rPr>
          <w:rFonts w:asciiTheme="minorHAnsi" w:hAnsiTheme="minorHAnsi" w:cstheme="minorHAnsi"/>
          <w:color w:val="000000" w:themeColor="text1"/>
          <w:sz w:val="22"/>
        </w:rPr>
        <w:t>.</w:t>
      </w:r>
    </w:p>
    <w:p w:rsidR="000C4862" w:rsidRPr="00C239B4" w:rsidRDefault="000C4862" w:rsidP="000C4862">
      <w:pPr>
        <w:ind w:left="720"/>
        <w:rPr>
          <w:rFonts w:cstheme="minorHAnsi"/>
          <w:color w:val="000000" w:themeColor="text1"/>
        </w:rPr>
      </w:pPr>
      <w:r w:rsidRPr="00C239B4">
        <w:rPr>
          <w:rFonts w:cstheme="minorHAnsi"/>
          <w:i/>
          <w:iCs/>
          <w:color w:val="000000" w:themeColor="text1"/>
        </w:rPr>
        <w:t>Provision</w:t>
      </w:r>
      <w:r w:rsidRPr="00C239B4">
        <w:rPr>
          <w:rFonts w:cstheme="minorHAnsi"/>
          <w:color w:val="000000" w:themeColor="text1"/>
        </w:rPr>
        <w:t>: If the property spans multiple limits, the </w:t>
      </w:r>
      <w:r w:rsidRPr="00C239B4">
        <w:rPr>
          <w:rFonts w:cstheme="minorHAnsi"/>
          <w:b/>
          <w:bCs/>
          <w:color w:val="000000" w:themeColor="text1"/>
        </w:rPr>
        <w:t>highest applicable duty</w:t>
      </w:r>
      <w:r w:rsidRPr="00C239B4">
        <w:rPr>
          <w:rFonts w:cstheme="minorHAnsi"/>
          <w:color w:val="000000" w:themeColor="text1"/>
        </w:rPr>
        <w:t> is charged.</w:t>
      </w:r>
    </w:p>
    <w:p w:rsidR="00443252" w:rsidRDefault="00C239B4" w:rsidP="000E4452">
      <w:pPr>
        <w:pStyle w:val="Heading2"/>
      </w:pPr>
      <w:r>
        <w:t>Mind map</w:t>
      </w:r>
    </w:p>
    <w:p w:rsidR="00C239B4" w:rsidRDefault="00C239B4" w:rsidP="00C239B4">
      <w:pPr>
        <w:jc w:val="center"/>
      </w:pPr>
      <w:r>
        <w:rPr>
          <w:noProof/>
        </w:rPr>
        <w:drawing>
          <wp:inline distT="0" distB="0" distL="0" distR="0">
            <wp:extent cx="5065989" cy="2122098"/>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ft Deed.jpeg"/>
                    <pic:cNvPicPr/>
                  </pic:nvPicPr>
                  <pic:blipFill>
                    <a:blip r:embed="rId8"/>
                    <a:stretch>
                      <a:fillRect/>
                    </a:stretch>
                  </pic:blipFill>
                  <pic:spPr>
                    <a:xfrm>
                      <a:off x="0" y="0"/>
                      <a:ext cx="5079354" cy="2127696"/>
                    </a:xfrm>
                    <a:prstGeom prst="rect">
                      <a:avLst/>
                    </a:prstGeom>
                  </pic:spPr>
                </pic:pic>
              </a:graphicData>
            </a:graphic>
          </wp:inline>
        </w:drawing>
      </w:r>
    </w:p>
    <w:p w:rsidR="00F41A8A" w:rsidRPr="00F41A8A" w:rsidRDefault="00F41A8A" w:rsidP="00C239B4">
      <w:pPr>
        <w:jc w:val="center"/>
        <w:rPr>
          <w:color w:val="1F3864" w:themeColor="accent1" w:themeShade="80"/>
          <w:u w:val="single"/>
        </w:rPr>
      </w:pPr>
      <w:r w:rsidRPr="00F41A8A">
        <w:rPr>
          <w:color w:val="1F3864" w:themeColor="accent1" w:themeShade="80"/>
          <w:u w:val="single"/>
        </w:rPr>
        <w:t>Figure 01 - Mind map of all variables</w:t>
      </w:r>
    </w:p>
    <w:p w:rsidR="000908DE" w:rsidRDefault="001A7504" w:rsidP="00C239B4">
      <w:pPr>
        <w:sectPr w:rsidR="000908DE">
          <w:pgSz w:w="11906" w:h="16838"/>
          <w:pgMar w:top="1440" w:right="1440" w:bottom="1440" w:left="1440" w:header="708" w:footer="708" w:gutter="0"/>
          <w:cols w:space="708"/>
          <w:docGrid w:linePitch="360"/>
        </w:sectPr>
      </w:pPr>
      <w:r>
        <w:t xml:space="preserve">Based on the variables </w:t>
      </w:r>
      <w:r w:rsidR="008B4CF8">
        <w:t xml:space="preserve">shown in </w:t>
      </w:r>
      <w:r w:rsidR="00553103">
        <w:t xml:space="preserve">the </w:t>
      </w:r>
      <w:r w:rsidR="008B4CF8">
        <w:t>mind map</w:t>
      </w:r>
      <w:r w:rsidR="006039BF" w:rsidRPr="006039BF">
        <w:rPr>
          <w:color w:val="1F3864" w:themeColor="accent1" w:themeShade="80"/>
        </w:rPr>
        <w:t xml:space="preserve"> </w:t>
      </w:r>
      <w:r w:rsidR="006039BF">
        <w:rPr>
          <w:color w:val="1F3864" w:themeColor="accent1" w:themeShade="80"/>
        </w:rPr>
        <w:t>(</w:t>
      </w:r>
      <w:r w:rsidR="006039BF" w:rsidRPr="006039BF">
        <w:t>Figure 01</w:t>
      </w:r>
      <w:r w:rsidR="006039BF">
        <w:t>)</w:t>
      </w:r>
      <w:r w:rsidR="008B4CF8">
        <w:t xml:space="preserve">, the list of possible scenarios </w:t>
      </w:r>
      <w:r w:rsidR="006039BF">
        <w:t>is</w:t>
      </w:r>
      <w:r w:rsidR="008B4CF8">
        <w:t xml:space="preserve"> attached in Table 01.</w:t>
      </w:r>
    </w:p>
    <w:p w:rsidR="00180B23" w:rsidRDefault="00180B23" w:rsidP="00180B23">
      <w:pPr>
        <w:pStyle w:val="Heading2"/>
      </w:pPr>
      <w:r>
        <w:lastRenderedPageBreak/>
        <w:t>Scenarios</w:t>
      </w:r>
    </w:p>
    <w:p w:rsidR="00180B23" w:rsidRDefault="00180B23" w:rsidP="00180B23"/>
    <w:tbl>
      <w:tblPr>
        <w:tblW w:w="14283" w:type="dxa"/>
        <w:tblInd w:w="-113" w:type="dxa"/>
        <w:tblLook w:val="04A0" w:firstRow="1" w:lastRow="0" w:firstColumn="1" w:lastColumn="0" w:noHBand="0" w:noVBand="1"/>
      </w:tblPr>
      <w:tblGrid>
        <w:gridCol w:w="960"/>
        <w:gridCol w:w="1740"/>
        <w:gridCol w:w="1700"/>
        <w:gridCol w:w="1760"/>
        <w:gridCol w:w="5288"/>
        <w:gridCol w:w="1276"/>
        <w:gridCol w:w="1559"/>
      </w:tblGrid>
      <w:tr w:rsidR="00553103" w:rsidRPr="00180B23" w:rsidTr="000908DE">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b/>
                <w:bCs/>
                <w:color w:val="000000"/>
                <w:lang w:eastAsia="en-IN"/>
              </w:rPr>
            </w:pPr>
            <w:r w:rsidRPr="00180B23">
              <w:rPr>
                <w:rFonts w:ascii="Calibri" w:eastAsia="Times New Roman" w:hAnsi="Calibri" w:cs="Calibri"/>
                <w:b/>
                <w:bCs/>
                <w:color w:val="000000"/>
                <w:lang w:eastAsia="en-IN"/>
              </w:rPr>
              <w:t>Sl</w:t>
            </w:r>
            <w:r>
              <w:rPr>
                <w:rFonts w:ascii="Calibri" w:eastAsia="Times New Roman" w:hAnsi="Calibri" w:cs="Calibri"/>
                <w:b/>
                <w:bCs/>
                <w:color w:val="000000"/>
                <w:lang w:eastAsia="en-IN"/>
              </w:rPr>
              <w:t>.</w:t>
            </w:r>
            <w:r w:rsidRPr="00180B23">
              <w:rPr>
                <w:rFonts w:ascii="Calibri" w:eastAsia="Times New Roman" w:hAnsi="Calibri" w:cs="Calibri"/>
                <w:b/>
                <w:bCs/>
                <w:color w:val="000000"/>
                <w:lang w:eastAsia="en-IN"/>
              </w:rPr>
              <w:t xml:space="preserve"> </w:t>
            </w:r>
            <w:r>
              <w:rPr>
                <w:rFonts w:ascii="Calibri" w:eastAsia="Times New Roman" w:hAnsi="Calibri" w:cs="Calibri"/>
                <w:b/>
                <w:bCs/>
                <w:color w:val="000000"/>
                <w:lang w:eastAsia="en-IN"/>
              </w:rPr>
              <w:t>N</w:t>
            </w:r>
            <w:r w:rsidRPr="00180B23">
              <w:rPr>
                <w:rFonts w:ascii="Calibri" w:eastAsia="Times New Roman" w:hAnsi="Calibri" w:cs="Calibri"/>
                <w:b/>
                <w:bCs/>
                <w:color w:val="000000"/>
                <w:lang w:eastAsia="en-IN"/>
              </w:rPr>
              <w:t>o.</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b/>
                <w:bCs/>
                <w:color w:val="000000"/>
                <w:lang w:eastAsia="en-IN"/>
              </w:rPr>
            </w:pPr>
            <w:r w:rsidRPr="00180B23">
              <w:rPr>
                <w:rFonts w:ascii="Calibri" w:eastAsia="Times New Roman" w:hAnsi="Calibri" w:cs="Calibri"/>
                <w:b/>
                <w:bCs/>
                <w:color w:val="000000"/>
                <w:lang w:eastAsia="en-IN"/>
              </w:rPr>
              <w:t>Executants</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b/>
                <w:bCs/>
                <w:color w:val="000000"/>
                <w:lang w:eastAsia="en-IN"/>
              </w:rPr>
            </w:pPr>
            <w:r w:rsidRPr="00180B23">
              <w:rPr>
                <w:rFonts w:ascii="Calibri" w:eastAsia="Times New Roman" w:hAnsi="Calibri" w:cs="Calibri"/>
                <w:b/>
                <w:bCs/>
                <w:color w:val="000000"/>
                <w:lang w:eastAsia="en-IN"/>
              </w:rPr>
              <w:t>Claimants</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b/>
                <w:bCs/>
                <w:color w:val="000000"/>
                <w:lang w:eastAsia="en-IN"/>
              </w:rPr>
            </w:pPr>
            <w:r w:rsidRPr="00180B23">
              <w:rPr>
                <w:rFonts w:ascii="Calibri" w:eastAsia="Times New Roman" w:hAnsi="Calibri" w:cs="Calibri"/>
                <w:b/>
                <w:bCs/>
                <w:color w:val="000000"/>
                <w:lang w:eastAsia="en-IN"/>
              </w:rPr>
              <w:t>Properties</w:t>
            </w:r>
          </w:p>
        </w:tc>
        <w:tc>
          <w:tcPr>
            <w:tcW w:w="5288" w:type="dxa"/>
            <w:tcBorders>
              <w:top w:val="single" w:sz="4" w:space="0" w:color="auto"/>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b/>
                <w:bCs/>
                <w:color w:val="000000"/>
                <w:lang w:eastAsia="en-IN"/>
              </w:rPr>
            </w:pPr>
            <w:r w:rsidRPr="00180B23">
              <w:rPr>
                <w:rFonts w:ascii="Calibri" w:eastAsia="Times New Roman" w:hAnsi="Calibri" w:cs="Calibri"/>
                <w:b/>
                <w:bCs/>
                <w:color w:val="000000"/>
                <w:lang w:eastAsia="en-IN"/>
              </w:rPr>
              <w:t>Jurisdiction</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b/>
                <w:bCs/>
                <w:color w:val="000000"/>
                <w:lang w:eastAsia="en-IN"/>
              </w:rPr>
            </w:pPr>
            <w:r w:rsidRPr="00180B23">
              <w:rPr>
                <w:rFonts w:ascii="Calibri" w:eastAsia="Times New Roman" w:hAnsi="Calibri" w:cs="Calibri"/>
                <w:b/>
                <w:bCs/>
                <w:color w:val="000000"/>
                <w:lang w:eastAsia="en-IN"/>
              </w:rPr>
              <w:t>Fees amount</w:t>
            </w:r>
            <w:r>
              <w:rPr>
                <w:rFonts w:ascii="Calibri" w:eastAsia="Times New Roman" w:hAnsi="Calibri" w:cs="Calibri"/>
                <w:b/>
                <w:bCs/>
                <w:color w:val="000000"/>
                <w:lang w:eastAsia="en-IN"/>
              </w:rPr>
              <w:t xml:space="preserve"> (in INR)</w:t>
            </w:r>
          </w:p>
        </w:tc>
        <w:tc>
          <w:tcPr>
            <w:tcW w:w="1559" w:type="dxa"/>
            <w:tcBorders>
              <w:top w:val="single" w:sz="4" w:space="0" w:color="auto"/>
              <w:left w:val="nil"/>
              <w:bottom w:val="single" w:sz="4" w:space="0" w:color="auto"/>
              <w:right w:val="single" w:sz="4" w:space="0" w:color="auto"/>
            </w:tcBorders>
          </w:tcPr>
          <w:p w:rsidR="00553103" w:rsidRPr="00180B23" w:rsidRDefault="00553103" w:rsidP="00553103">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Fees to be considered (in INR)</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BMRDA/BBMP/City Corporation limits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3</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other areas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4</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BMRDA/BBMP/City Corporation limits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5</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bookmarkStart w:id="0" w:name="_GoBack"/>
            <w:bookmarkEnd w:id="0"/>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6</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other areas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7</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BMRDA/BBMP/City Corporation limits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8</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9</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other areas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10</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BMRDA/BBMP/City Corporation limits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11</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r>
      <w:tr w:rsidR="00553103" w:rsidRPr="00180B23" w:rsidTr="000908D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12</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5288"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other areas</w:t>
            </w:r>
          </w:p>
        </w:tc>
        <w:tc>
          <w:tcPr>
            <w:tcW w:w="1276" w:type="dxa"/>
            <w:tcBorders>
              <w:top w:val="nil"/>
              <w:left w:val="nil"/>
              <w:bottom w:val="single" w:sz="4" w:space="0" w:color="auto"/>
              <w:right w:val="single" w:sz="4" w:space="0" w:color="auto"/>
            </w:tcBorders>
            <w:shd w:val="clear" w:color="auto" w:fill="auto"/>
            <w:noWrap/>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r>
      <w:tr w:rsidR="00553103" w:rsidRPr="00180B23" w:rsidTr="000908DE">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13</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BMRDA/BBMP/City Corporation limits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553103" w:rsidRPr="00180B23" w:rsidRDefault="00553103"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5000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r>
      <w:tr w:rsidR="00553103" w:rsidRPr="00180B23" w:rsidTr="000908DE">
        <w:trPr>
          <w:trHeight w:val="57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14</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City/Town Municipal Council/Town Panchayat</w:t>
            </w:r>
            <w:r w:rsidRPr="00180B23">
              <w:rPr>
                <w:rFonts w:ascii="Calibri" w:eastAsia="Times New Roman" w:hAnsi="Calibri" w:cs="Calibri"/>
                <w:color w:val="000000"/>
                <w:lang w:eastAsia="en-IN"/>
              </w:rPr>
              <w:br/>
              <w:t>P2 - 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p w:rsidR="00553103" w:rsidRPr="00180B23" w:rsidRDefault="00553103"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r>
      <w:tr w:rsidR="00553103" w:rsidRPr="00180B23" w:rsidTr="000908DE">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15</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other areas</w:t>
            </w:r>
            <w:r w:rsidRPr="00180B23">
              <w:rPr>
                <w:rFonts w:ascii="Calibri" w:eastAsia="Times New Roman" w:hAnsi="Calibri" w:cs="Calibri"/>
                <w:color w:val="000000"/>
                <w:lang w:eastAsia="en-IN"/>
              </w:rPr>
              <w:br/>
              <w:t>P2 -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p w:rsidR="00553103" w:rsidRPr="00180B23" w:rsidRDefault="00553103"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r>
      <w:tr w:rsidR="00553103" w:rsidRPr="00180B23" w:rsidTr="000908DE">
        <w:trPr>
          <w:trHeight w:val="517"/>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16</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553103" w:rsidRPr="00180B23" w:rsidRDefault="00553103"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17</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553103" w:rsidRPr="00180B23" w:rsidRDefault="00553103"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699"/>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18</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City/Town Municipal Council/Town Panchayat</w:t>
            </w:r>
            <w:r w:rsidRPr="00180B23">
              <w:rPr>
                <w:rFonts w:ascii="Calibri" w:eastAsia="Times New Roman" w:hAnsi="Calibri" w:cs="Calibri"/>
                <w:color w:val="000000"/>
                <w:lang w:eastAsia="en-IN"/>
              </w:rPr>
              <w:br/>
              <w:t>P2 -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3000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841"/>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lastRenderedPageBreak/>
              <w:t>19</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Single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City/Town Municipal Council/Town Panchayat</w:t>
            </w:r>
            <w:r w:rsidRPr="00180B23">
              <w:rPr>
                <w:rFonts w:ascii="Calibri" w:eastAsia="Times New Roman" w:hAnsi="Calibri" w:cs="Calibri"/>
                <w:color w:val="000000"/>
                <w:lang w:eastAsia="en-IN"/>
              </w:rPr>
              <w:br/>
              <w:t>P3 -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0908DE"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3000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20</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BMRDA/BBMP/City Corporation limits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5000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tc>
      </w:tr>
      <w:tr w:rsidR="00553103" w:rsidRPr="00180B23" w:rsidTr="000908DE">
        <w:trPr>
          <w:trHeight w:val="663"/>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21</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City/Town Municipal Council/Town Panchayat</w:t>
            </w:r>
            <w:r w:rsidRPr="00180B23">
              <w:rPr>
                <w:rFonts w:ascii="Calibri" w:eastAsia="Times New Roman" w:hAnsi="Calibri" w:cs="Calibri"/>
                <w:color w:val="000000"/>
                <w:lang w:eastAsia="en-IN"/>
              </w:rPr>
              <w:br/>
              <w:t>P2 - 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3000</w:t>
            </w:r>
          </w:p>
        </w:tc>
      </w:tr>
      <w:tr w:rsidR="00553103" w:rsidRPr="00180B23" w:rsidTr="000908DE">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22</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other areas</w:t>
            </w:r>
            <w:r w:rsidRPr="00180B23">
              <w:rPr>
                <w:rFonts w:ascii="Calibri" w:eastAsia="Times New Roman" w:hAnsi="Calibri" w:cs="Calibri"/>
                <w:color w:val="000000"/>
                <w:lang w:eastAsia="en-IN"/>
              </w:rPr>
              <w:br/>
              <w:t>P2 -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1000</w:t>
            </w:r>
          </w:p>
        </w:tc>
      </w:tr>
      <w:tr w:rsidR="00553103" w:rsidRPr="00180B23" w:rsidTr="000908DE">
        <w:trPr>
          <w:trHeight w:val="667"/>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23</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City/Town Municipal Council/Town Panchayat</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3000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24</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64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25</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City/Town Municipal Council/Town Panchayat</w:t>
            </w:r>
            <w:r w:rsidRPr="00180B23">
              <w:rPr>
                <w:rFonts w:ascii="Calibri" w:eastAsia="Times New Roman" w:hAnsi="Calibri" w:cs="Calibri"/>
                <w:color w:val="000000"/>
                <w:lang w:eastAsia="en-IN"/>
              </w:rPr>
              <w:br/>
              <w:t>P2 - other areas</w:t>
            </w:r>
          </w:p>
        </w:tc>
        <w:tc>
          <w:tcPr>
            <w:tcW w:w="1276" w:type="dxa"/>
            <w:tcBorders>
              <w:top w:val="nil"/>
              <w:left w:val="nil"/>
              <w:bottom w:val="single" w:sz="4" w:space="0" w:color="auto"/>
              <w:right w:val="single" w:sz="4" w:space="0" w:color="auto"/>
            </w:tcBorders>
            <w:shd w:val="clear" w:color="auto" w:fill="auto"/>
            <w:noWrap/>
            <w:hideMark/>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3000 </w:t>
            </w:r>
          </w:p>
          <w:p w:rsidR="00553103"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3000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r w:rsidR="00553103" w:rsidRPr="00180B23" w:rsidTr="000908DE">
        <w:trPr>
          <w:trHeight w:val="836"/>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26</w:t>
            </w:r>
          </w:p>
        </w:tc>
        <w:tc>
          <w:tcPr>
            <w:tcW w:w="174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0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1760" w:type="dxa"/>
            <w:tcBorders>
              <w:top w:val="nil"/>
              <w:left w:val="nil"/>
              <w:bottom w:val="single" w:sz="4" w:space="0" w:color="auto"/>
              <w:right w:val="single" w:sz="4" w:space="0" w:color="auto"/>
            </w:tcBorders>
            <w:shd w:val="clear" w:color="auto" w:fill="auto"/>
            <w:noWrap/>
            <w:vAlign w:val="center"/>
            <w:hideMark/>
          </w:tcPr>
          <w:p w:rsidR="00553103" w:rsidRPr="00180B23" w:rsidRDefault="00553103" w:rsidP="00553103">
            <w:pPr>
              <w:spacing w:after="0" w:line="240" w:lineRule="auto"/>
              <w:jc w:val="center"/>
              <w:rPr>
                <w:rFonts w:ascii="Calibri" w:eastAsia="Times New Roman" w:hAnsi="Calibri" w:cs="Calibri"/>
                <w:color w:val="000000"/>
                <w:lang w:eastAsia="en-IN"/>
              </w:rPr>
            </w:pPr>
            <w:r w:rsidRPr="00180B23">
              <w:rPr>
                <w:rFonts w:ascii="Calibri" w:eastAsia="Times New Roman" w:hAnsi="Calibri" w:cs="Calibri"/>
                <w:color w:val="000000"/>
                <w:lang w:eastAsia="en-IN"/>
              </w:rPr>
              <w:t>Multiple</w:t>
            </w:r>
          </w:p>
        </w:tc>
        <w:tc>
          <w:tcPr>
            <w:tcW w:w="5288" w:type="dxa"/>
            <w:tcBorders>
              <w:top w:val="nil"/>
              <w:left w:val="nil"/>
              <w:bottom w:val="single" w:sz="4" w:space="0" w:color="auto"/>
              <w:right w:val="single" w:sz="4" w:space="0" w:color="auto"/>
            </w:tcBorders>
            <w:shd w:val="clear" w:color="auto" w:fill="auto"/>
            <w:hideMark/>
          </w:tcPr>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P1 - BMRDA/BBMP/City Corporation limits</w:t>
            </w:r>
            <w:r w:rsidRPr="00180B23">
              <w:rPr>
                <w:rFonts w:ascii="Calibri" w:eastAsia="Times New Roman" w:hAnsi="Calibri" w:cs="Calibri"/>
                <w:color w:val="000000"/>
                <w:lang w:eastAsia="en-IN"/>
              </w:rPr>
              <w:br/>
              <w:t>P2 - City/Town Municipal Council/Town Panchayat</w:t>
            </w:r>
            <w:r w:rsidRPr="00180B23">
              <w:rPr>
                <w:rFonts w:ascii="Calibri" w:eastAsia="Times New Roman" w:hAnsi="Calibri" w:cs="Calibri"/>
                <w:color w:val="000000"/>
                <w:lang w:eastAsia="en-IN"/>
              </w:rPr>
              <w:br/>
              <w:t>P3 - other areas</w:t>
            </w:r>
          </w:p>
        </w:tc>
        <w:tc>
          <w:tcPr>
            <w:tcW w:w="1276" w:type="dxa"/>
            <w:tcBorders>
              <w:top w:val="nil"/>
              <w:left w:val="nil"/>
              <w:bottom w:val="single" w:sz="4" w:space="0" w:color="auto"/>
              <w:right w:val="single" w:sz="4" w:space="0" w:color="auto"/>
            </w:tcBorders>
            <w:shd w:val="clear" w:color="auto" w:fill="auto"/>
            <w:noWrap/>
            <w:hideMark/>
          </w:tcPr>
          <w:p w:rsidR="0055310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5000</w:t>
            </w:r>
          </w:p>
          <w:p w:rsidR="000908DE"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3000</w:t>
            </w:r>
          </w:p>
          <w:p w:rsidR="000908DE" w:rsidRPr="00180B23" w:rsidRDefault="000908DE" w:rsidP="0055310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1000</w:t>
            </w:r>
          </w:p>
        </w:tc>
        <w:tc>
          <w:tcPr>
            <w:tcW w:w="1559" w:type="dxa"/>
            <w:tcBorders>
              <w:top w:val="nil"/>
              <w:left w:val="nil"/>
              <w:bottom w:val="single" w:sz="4" w:space="0" w:color="auto"/>
              <w:right w:val="single" w:sz="4" w:space="0" w:color="auto"/>
            </w:tcBorders>
          </w:tcPr>
          <w:p w:rsidR="000908DE"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 xml:space="preserve">5000 </w:t>
            </w:r>
          </w:p>
          <w:p w:rsidR="00553103" w:rsidRPr="00180B23" w:rsidRDefault="00553103" w:rsidP="00553103">
            <w:pPr>
              <w:spacing w:after="0" w:line="240" w:lineRule="auto"/>
              <w:rPr>
                <w:rFonts w:ascii="Calibri" w:eastAsia="Times New Roman" w:hAnsi="Calibri" w:cs="Calibri"/>
                <w:color w:val="000000"/>
                <w:lang w:eastAsia="en-IN"/>
              </w:rPr>
            </w:pPr>
            <w:r w:rsidRPr="00180B23">
              <w:rPr>
                <w:rFonts w:ascii="Calibri" w:eastAsia="Times New Roman" w:hAnsi="Calibri" w:cs="Calibri"/>
                <w:color w:val="000000"/>
                <w:lang w:eastAsia="en-IN"/>
              </w:rPr>
              <w:t>(Highest value)</w:t>
            </w:r>
          </w:p>
        </w:tc>
      </w:tr>
    </w:tbl>
    <w:p w:rsidR="00180B23" w:rsidRPr="00180B23" w:rsidRDefault="00180B23" w:rsidP="00180B23">
      <w:pPr>
        <w:sectPr w:rsidR="00180B23" w:rsidRPr="00180B23" w:rsidSect="00180B23">
          <w:pgSz w:w="16838" w:h="11906" w:orient="landscape"/>
          <w:pgMar w:top="1440" w:right="1440" w:bottom="1440" w:left="1440" w:header="708" w:footer="708" w:gutter="0"/>
          <w:cols w:space="708"/>
          <w:docGrid w:linePitch="360"/>
        </w:sectPr>
      </w:pPr>
    </w:p>
    <w:p w:rsidR="00BB63B5" w:rsidRDefault="00BB63B5" w:rsidP="00BB63B5">
      <w:pPr>
        <w:pStyle w:val="Heading2"/>
      </w:pPr>
      <w:r>
        <w:lastRenderedPageBreak/>
        <w:t>Annexures</w:t>
      </w:r>
    </w:p>
    <w:p w:rsidR="00631764" w:rsidRDefault="00631764" w:rsidP="00631764">
      <w:pPr>
        <w:rPr>
          <w:rFonts w:cstheme="minorHAnsi"/>
          <w:color w:val="000000" w:themeColor="text1"/>
        </w:rPr>
      </w:pPr>
      <w:r>
        <w:rPr>
          <w:rFonts w:cstheme="minorHAnsi"/>
          <w:color w:val="000000" w:themeColor="text1"/>
        </w:rPr>
        <w:t xml:space="preserve">The </w:t>
      </w:r>
      <w:r w:rsidRPr="000C4862">
        <w:rPr>
          <w:rFonts w:cstheme="minorHAnsi"/>
          <w:color w:val="000000" w:themeColor="text1"/>
        </w:rPr>
        <w:t xml:space="preserve">Karnataka Stamp Act, 1957 – </w:t>
      </w:r>
    </w:p>
    <w:p w:rsidR="00631764" w:rsidRDefault="00631764" w:rsidP="00631764">
      <w:pPr>
        <w:rPr>
          <w:rFonts w:cstheme="minorHAnsi"/>
          <w:iCs/>
          <w:color w:val="000000" w:themeColor="text1"/>
        </w:rPr>
      </w:pPr>
      <w:r w:rsidRPr="000C4862">
        <w:rPr>
          <w:rFonts w:cstheme="minorHAnsi"/>
          <w:color w:val="000000" w:themeColor="text1"/>
        </w:rPr>
        <w:t>Article 2</w:t>
      </w:r>
      <w:r>
        <w:rPr>
          <w:rFonts w:cstheme="minorHAnsi"/>
          <w:color w:val="000000" w:themeColor="text1"/>
        </w:rPr>
        <w:t xml:space="preserve">8 - </w:t>
      </w:r>
      <w:r w:rsidRPr="000C4862">
        <w:rPr>
          <w:rFonts w:cstheme="minorHAnsi"/>
          <w:color w:val="000000" w:themeColor="text1"/>
        </w:rPr>
        <w:t>Gift-Instrument of</w:t>
      </w:r>
      <w:r>
        <w:rPr>
          <w:rFonts w:cstheme="minorHAnsi"/>
          <w:color w:val="000000" w:themeColor="text1"/>
        </w:rPr>
        <w:t xml:space="preserve"> - </w:t>
      </w:r>
      <w:r w:rsidRPr="000C4862">
        <w:rPr>
          <w:rFonts w:cstheme="minorHAnsi"/>
          <w:i/>
          <w:iCs/>
          <w:color w:val="000000" w:themeColor="text1"/>
        </w:rPr>
        <w:t>Not being a Settlement (No. 48) or Will or Transfer (No. 52)</w:t>
      </w:r>
      <w:r>
        <w:rPr>
          <w:rFonts w:cstheme="minorHAnsi"/>
          <w:i/>
          <w:iCs/>
          <w:color w:val="000000" w:themeColor="text1"/>
        </w:rPr>
        <w:t xml:space="preserve"> </w:t>
      </w:r>
    </w:p>
    <w:p w:rsidR="006D1873" w:rsidRPr="00BB63B5" w:rsidRDefault="006D1873" w:rsidP="00631764">
      <w:pPr>
        <w:rPr>
          <w:rFonts w:cstheme="minorHAnsi"/>
          <w:color w:val="000000" w:themeColor="text1"/>
        </w:rPr>
      </w:pPr>
      <w:r>
        <w:rPr>
          <w:rFonts w:cstheme="minorHAnsi"/>
          <w:noProof/>
          <w:color w:val="000000" w:themeColor="text1"/>
        </w:rPr>
        <w:drawing>
          <wp:inline distT="0" distB="0" distL="0" distR="0">
            <wp:extent cx="5448300" cy="752223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dia.jpeg"/>
                    <pic:cNvPicPr/>
                  </pic:nvPicPr>
                  <pic:blipFill rotWithShape="1">
                    <a:blip r:embed="rId9"/>
                    <a:srcRect b="1283"/>
                    <a:stretch/>
                  </pic:blipFill>
                  <pic:spPr bwMode="auto">
                    <a:xfrm>
                      <a:off x="0" y="0"/>
                      <a:ext cx="5448300" cy="7522234"/>
                    </a:xfrm>
                    <a:prstGeom prst="rect">
                      <a:avLst/>
                    </a:prstGeom>
                    <a:ln>
                      <a:noFill/>
                    </a:ln>
                    <a:extLst>
                      <a:ext uri="{53640926-AAD7-44D8-BBD7-CCE9431645EC}">
                        <a14:shadowObscured xmlns:a14="http://schemas.microsoft.com/office/drawing/2010/main"/>
                      </a:ext>
                    </a:extLst>
                  </pic:spPr>
                </pic:pic>
              </a:graphicData>
            </a:graphic>
          </wp:inline>
        </w:drawing>
      </w:r>
    </w:p>
    <w:p w:rsidR="000E4452" w:rsidRPr="000E4452" w:rsidRDefault="000E4452" w:rsidP="000E4452"/>
    <w:sectPr w:rsidR="000E4452" w:rsidRPr="000E4452" w:rsidSect="00180B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3C82" w:rsidRDefault="000E3C82" w:rsidP="00BF7C52">
      <w:pPr>
        <w:spacing w:after="0" w:line="240" w:lineRule="auto"/>
      </w:pPr>
      <w:r>
        <w:separator/>
      </w:r>
    </w:p>
  </w:endnote>
  <w:endnote w:type="continuationSeparator" w:id="0">
    <w:p w:rsidR="000E3C82" w:rsidRDefault="000E3C82" w:rsidP="00BF7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for KPMG">
    <w:altName w:val="Trebuchet MS"/>
    <w:charset w:val="00"/>
    <w:family w:val="swiss"/>
    <w:pitch w:val="variable"/>
    <w:sig w:usb0="800002AF" w:usb1="5000204A"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3C82" w:rsidRDefault="000E3C82" w:rsidP="00BF7C52">
      <w:pPr>
        <w:spacing w:after="0" w:line="240" w:lineRule="auto"/>
      </w:pPr>
      <w:r>
        <w:separator/>
      </w:r>
    </w:p>
  </w:footnote>
  <w:footnote w:type="continuationSeparator" w:id="0">
    <w:p w:rsidR="000E3C82" w:rsidRDefault="000E3C82" w:rsidP="00BF7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F72AC"/>
    <w:multiLevelType w:val="hybridMultilevel"/>
    <w:tmpl w:val="B64C1B1E"/>
    <w:lvl w:ilvl="0" w:tplc="F5901E10">
      <w:start w:val="1"/>
      <w:numFmt w:val="bullet"/>
      <w:lvlText w:val="―"/>
      <w:lvlJc w:val="left"/>
      <w:pPr>
        <w:ind w:left="720" w:hanging="360"/>
      </w:pPr>
      <w:rPr>
        <w:rFonts w:ascii="Arial" w:hAnsi="Arial"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31AEF"/>
    <w:multiLevelType w:val="hybridMultilevel"/>
    <w:tmpl w:val="027A3D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6C58F6"/>
    <w:multiLevelType w:val="multilevel"/>
    <w:tmpl w:val="33A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20C5E"/>
    <w:multiLevelType w:val="hybridMultilevel"/>
    <w:tmpl w:val="99B8A55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0F9E4DB6"/>
    <w:multiLevelType w:val="hybridMultilevel"/>
    <w:tmpl w:val="194610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A295E70"/>
    <w:multiLevelType w:val="hybridMultilevel"/>
    <w:tmpl w:val="06761F68"/>
    <w:lvl w:ilvl="0" w:tplc="3638773A">
      <w:start w:val="1"/>
      <w:numFmt w:val="decimal"/>
      <w:lvlText w:val="%1."/>
      <w:lvlJc w:val="left"/>
      <w:pPr>
        <w:ind w:left="720" w:hanging="360"/>
      </w:pPr>
      <w:rPr>
        <w:rFonts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FD2EF6"/>
    <w:multiLevelType w:val="hybridMultilevel"/>
    <w:tmpl w:val="91029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AD7A25"/>
    <w:multiLevelType w:val="hybridMultilevel"/>
    <w:tmpl w:val="6EC038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5CF0DAE"/>
    <w:multiLevelType w:val="hybridMultilevel"/>
    <w:tmpl w:val="FABCBC6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361D32D4"/>
    <w:multiLevelType w:val="multilevel"/>
    <w:tmpl w:val="4148D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F51EF"/>
    <w:multiLevelType w:val="hybridMultilevel"/>
    <w:tmpl w:val="1BE20D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AD94850"/>
    <w:multiLevelType w:val="multilevel"/>
    <w:tmpl w:val="B8B6978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400710B4"/>
    <w:multiLevelType w:val="multilevel"/>
    <w:tmpl w:val="055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D0707"/>
    <w:multiLevelType w:val="hybridMultilevel"/>
    <w:tmpl w:val="074066C2"/>
    <w:lvl w:ilvl="0" w:tplc="997CA312">
      <w:start w:val="1"/>
      <w:numFmt w:val="decimal"/>
      <w:lvlText w:val="%1."/>
      <w:lvlJc w:val="left"/>
      <w:pPr>
        <w:ind w:left="1440" w:hanging="360"/>
      </w:pPr>
      <w:rPr>
        <w:rFonts w:ascii="Calibri" w:eastAsia="Times New Roman" w:hAnsi="Calibri" w:cs="Calibri"/>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C9D5948"/>
    <w:multiLevelType w:val="multilevel"/>
    <w:tmpl w:val="BF98A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C552FC"/>
    <w:multiLevelType w:val="hybridMultilevel"/>
    <w:tmpl w:val="A8AE98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805047A"/>
    <w:multiLevelType w:val="hybridMultilevel"/>
    <w:tmpl w:val="9328D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30144D"/>
    <w:multiLevelType w:val="multilevel"/>
    <w:tmpl w:val="0EBC815C"/>
    <w:lvl w:ilvl="0">
      <w:start w:val="1"/>
      <w:numFmt w:val="decimal"/>
      <w:lvlText w:val="%1."/>
      <w:lvlJc w:val="left"/>
      <w:pPr>
        <w:ind w:left="1440" w:hanging="360"/>
      </w:pPr>
      <w:rPr>
        <w:b w:val="0"/>
        <w:bCs w:val="0"/>
      </w:rPr>
    </w:lvl>
    <w:lvl w:ilvl="1">
      <w:start w:val="1"/>
      <w:numFmt w:val="lowerLetter"/>
      <w:lvlText w:val="%2."/>
      <w:lvlJc w:val="left"/>
      <w:pPr>
        <w:ind w:left="2160" w:hanging="360"/>
      </w:pPr>
      <w:rPr>
        <w:b w:val="0"/>
        <w:bCs w:val="0"/>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8" w15:restartNumberingAfterBreak="0">
    <w:nsid w:val="5D8F023C"/>
    <w:multiLevelType w:val="hybridMultilevel"/>
    <w:tmpl w:val="AB8A5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77140E"/>
    <w:multiLevelType w:val="hybridMultilevel"/>
    <w:tmpl w:val="0B841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83B36A1"/>
    <w:multiLevelType w:val="multilevel"/>
    <w:tmpl w:val="0B2C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26A45"/>
    <w:multiLevelType w:val="multilevel"/>
    <w:tmpl w:val="9CA047C4"/>
    <w:lvl w:ilvl="0">
      <w:start w:val="1"/>
      <w:numFmt w:val="lowerRoman"/>
      <w:lvlText w:val="%1."/>
      <w:lvlJc w:val="right"/>
      <w:pPr>
        <w:ind w:left="1440" w:hanging="360"/>
      </w:pPr>
      <w:rPr>
        <w:b w:val="0"/>
        <w:bCs w:val="0"/>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2" w15:restartNumberingAfterBreak="0">
    <w:nsid w:val="7C35446C"/>
    <w:multiLevelType w:val="hybridMultilevel"/>
    <w:tmpl w:val="D8643094"/>
    <w:lvl w:ilvl="0" w:tplc="060AF1D2">
      <w:start w:val="1"/>
      <w:numFmt w:val="decimal"/>
      <w:lvlText w:val="%1."/>
      <w:lvlJc w:val="left"/>
      <w:pPr>
        <w:ind w:left="2160" w:hanging="360"/>
      </w:pPr>
      <w:rPr>
        <w:b w:val="0"/>
      </w:rPr>
    </w:lvl>
    <w:lvl w:ilvl="1" w:tplc="40090001">
      <w:start w:val="1"/>
      <w:numFmt w:val="bullet"/>
      <w:lvlText w:val=""/>
      <w:lvlJc w:val="left"/>
      <w:pPr>
        <w:ind w:left="2880" w:hanging="360"/>
      </w:pPr>
      <w:rPr>
        <w:rFonts w:ascii="Symbol" w:hAnsi="Symbol"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11"/>
  </w:num>
  <w:num w:numId="2">
    <w:abstractNumId w:val="17"/>
  </w:num>
  <w:num w:numId="3">
    <w:abstractNumId w:val="21"/>
  </w:num>
  <w:num w:numId="4">
    <w:abstractNumId w:val="0"/>
  </w:num>
  <w:num w:numId="5">
    <w:abstractNumId w:val="14"/>
  </w:num>
  <w:num w:numId="6">
    <w:abstractNumId w:val="18"/>
  </w:num>
  <w:num w:numId="7">
    <w:abstractNumId w:val="8"/>
  </w:num>
  <w:num w:numId="8">
    <w:abstractNumId w:val="10"/>
  </w:num>
  <w:num w:numId="9">
    <w:abstractNumId w:val="13"/>
  </w:num>
  <w:num w:numId="10">
    <w:abstractNumId w:val="22"/>
  </w:num>
  <w:num w:numId="11">
    <w:abstractNumId w:val="3"/>
  </w:num>
  <w:num w:numId="12">
    <w:abstractNumId w:val="16"/>
  </w:num>
  <w:num w:numId="13">
    <w:abstractNumId w:val="6"/>
  </w:num>
  <w:num w:numId="14">
    <w:abstractNumId w:val="5"/>
  </w:num>
  <w:num w:numId="15">
    <w:abstractNumId w:val="7"/>
  </w:num>
  <w:num w:numId="16">
    <w:abstractNumId w:val="12"/>
  </w:num>
  <w:num w:numId="17">
    <w:abstractNumId w:val="2"/>
  </w:num>
  <w:num w:numId="18">
    <w:abstractNumId w:val="1"/>
  </w:num>
  <w:num w:numId="19">
    <w:abstractNumId w:val="4"/>
  </w:num>
  <w:num w:numId="20">
    <w:abstractNumId w:val="19"/>
  </w:num>
  <w:num w:numId="21">
    <w:abstractNumId w:val="20"/>
  </w:num>
  <w:num w:numId="22">
    <w:abstractNumId w:val="9"/>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EC"/>
    <w:rsid w:val="00004D56"/>
    <w:rsid w:val="00074874"/>
    <w:rsid w:val="00077170"/>
    <w:rsid w:val="00084993"/>
    <w:rsid w:val="000908DE"/>
    <w:rsid w:val="00095412"/>
    <w:rsid w:val="000C4862"/>
    <w:rsid w:val="000C569E"/>
    <w:rsid w:val="000E1426"/>
    <w:rsid w:val="000E3C82"/>
    <w:rsid w:val="000E4452"/>
    <w:rsid w:val="0010115F"/>
    <w:rsid w:val="001175B0"/>
    <w:rsid w:val="00121386"/>
    <w:rsid w:val="0016455E"/>
    <w:rsid w:val="00180B23"/>
    <w:rsid w:val="0018765B"/>
    <w:rsid w:val="00192819"/>
    <w:rsid w:val="00193A92"/>
    <w:rsid w:val="001A7504"/>
    <w:rsid w:val="001B23B9"/>
    <w:rsid w:val="001B6B39"/>
    <w:rsid w:val="00211D0E"/>
    <w:rsid w:val="00221FFD"/>
    <w:rsid w:val="002318CA"/>
    <w:rsid w:val="00241B48"/>
    <w:rsid w:val="002640A3"/>
    <w:rsid w:val="002810C7"/>
    <w:rsid w:val="0028396B"/>
    <w:rsid w:val="002A3E3E"/>
    <w:rsid w:val="002A68FD"/>
    <w:rsid w:val="002A6CCE"/>
    <w:rsid w:val="002B3011"/>
    <w:rsid w:val="002D65BA"/>
    <w:rsid w:val="002D7313"/>
    <w:rsid w:val="002F0EFB"/>
    <w:rsid w:val="00310783"/>
    <w:rsid w:val="00330797"/>
    <w:rsid w:val="003337E9"/>
    <w:rsid w:val="0035269D"/>
    <w:rsid w:val="00353453"/>
    <w:rsid w:val="00355669"/>
    <w:rsid w:val="00360782"/>
    <w:rsid w:val="0036173E"/>
    <w:rsid w:val="00364BE5"/>
    <w:rsid w:val="003B1970"/>
    <w:rsid w:val="003B400B"/>
    <w:rsid w:val="003B6024"/>
    <w:rsid w:val="003C6FB3"/>
    <w:rsid w:val="003E1BBF"/>
    <w:rsid w:val="003F0EF4"/>
    <w:rsid w:val="004159DA"/>
    <w:rsid w:val="00417DF2"/>
    <w:rsid w:val="00430176"/>
    <w:rsid w:val="00440F12"/>
    <w:rsid w:val="00443252"/>
    <w:rsid w:val="00451C46"/>
    <w:rsid w:val="00472D85"/>
    <w:rsid w:val="00472DFE"/>
    <w:rsid w:val="004938D7"/>
    <w:rsid w:val="004A0C70"/>
    <w:rsid w:val="004A15A7"/>
    <w:rsid w:val="004A5349"/>
    <w:rsid w:val="004E60C3"/>
    <w:rsid w:val="004F6A18"/>
    <w:rsid w:val="00502775"/>
    <w:rsid w:val="00520407"/>
    <w:rsid w:val="005351EC"/>
    <w:rsid w:val="0054319C"/>
    <w:rsid w:val="00553103"/>
    <w:rsid w:val="005656BC"/>
    <w:rsid w:val="00580DB1"/>
    <w:rsid w:val="00583E4A"/>
    <w:rsid w:val="005C1335"/>
    <w:rsid w:val="005E3E75"/>
    <w:rsid w:val="006039BF"/>
    <w:rsid w:val="006179D5"/>
    <w:rsid w:val="006316AD"/>
    <w:rsid w:val="00631764"/>
    <w:rsid w:val="00637FD3"/>
    <w:rsid w:val="00647809"/>
    <w:rsid w:val="00655A57"/>
    <w:rsid w:val="00675C9F"/>
    <w:rsid w:val="00697EB3"/>
    <w:rsid w:val="006D1873"/>
    <w:rsid w:val="006D7B7E"/>
    <w:rsid w:val="006F129C"/>
    <w:rsid w:val="006F6774"/>
    <w:rsid w:val="00714FA7"/>
    <w:rsid w:val="00725378"/>
    <w:rsid w:val="007324EC"/>
    <w:rsid w:val="007401BC"/>
    <w:rsid w:val="00744C41"/>
    <w:rsid w:val="00746F08"/>
    <w:rsid w:val="0076452B"/>
    <w:rsid w:val="00772264"/>
    <w:rsid w:val="007C6095"/>
    <w:rsid w:val="007E016C"/>
    <w:rsid w:val="007F2A81"/>
    <w:rsid w:val="00817FAE"/>
    <w:rsid w:val="00836DF6"/>
    <w:rsid w:val="00845FAD"/>
    <w:rsid w:val="00871F1E"/>
    <w:rsid w:val="008723FD"/>
    <w:rsid w:val="008B4CF8"/>
    <w:rsid w:val="008C5072"/>
    <w:rsid w:val="008E514F"/>
    <w:rsid w:val="008E6F8E"/>
    <w:rsid w:val="00941A0C"/>
    <w:rsid w:val="00945FB3"/>
    <w:rsid w:val="00955617"/>
    <w:rsid w:val="00960E86"/>
    <w:rsid w:val="009729DC"/>
    <w:rsid w:val="00984CA4"/>
    <w:rsid w:val="00991FB7"/>
    <w:rsid w:val="009931BC"/>
    <w:rsid w:val="009975C5"/>
    <w:rsid w:val="009D09B7"/>
    <w:rsid w:val="009D1462"/>
    <w:rsid w:val="009E05D6"/>
    <w:rsid w:val="009F5759"/>
    <w:rsid w:val="009F6F7B"/>
    <w:rsid w:val="00A06FA7"/>
    <w:rsid w:val="00A1678C"/>
    <w:rsid w:val="00A47A75"/>
    <w:rsid w:val="00A56739"/>
    <w:rsid w:val="00A63386"/>
    <w:rsid w:val="00A66F94"/>
    <w:rsid w:val="00A71D2C"/>
    <w:rsid w:val="00A8092D"/>
    <w:rsid w:val="00AD09AE"/>
    <w:rsid w:val="00AE45F3"/>
    <w:rsid w:val="00AF7F9B"/>
    <w:rsid w:val="00B15B14"/>
    <w:rsid w:val="00B376EC"/>
    <w:rsid w:val="00B54BC3"/>
    <w:rsid w:val="00B565D4"/>
    <w:rsid w:val="00B65D4B"/>
    <w:rsid w:val="00B85CB2"/>
    <w:rsid w:val="00B940E7"/>
    <w:rsid w:val="00B97C50"/>
    <w:rsid w:val="00BB1142"/>
    <w:rsid w:val="00BB63B5"/>
    <w:rsid w:val="00BD37D0"/>
    <w:rsid w:val="00BE242F"/>
    <w:rsid w:val="00BF7C52"/>
    <w:rsid w:val="00C152A6"/>
    <w:rsid w:val="00C239B4"/>
    <w:rsid w:val="00C34ED0"/>
    <w:rsid w:val="00C44F24"/>
    <w:rsid w:val="00C50BB7"/>
    <w:rsid w:val="00C60BB8"/>
    <w:rsid w:val="00C80EF5"/>
    <w:rsid w:val="00C84579"/>
    <w:rsid w:val="00C9562D"/>
    <w:rsid w:val="00CA2764"/>
    <w:rsid w:val="00CA3A7F"/>
    <w:rsid w:val="00CB36DC"/>
    <w:rsid w:val="00CE1DFD"/>
    <w:rsid w:val="00CF6E35"/>
    <w:rsid w:val="00D0144B"/>
    <w:rsid w:val="00D06385"/>
    <w:rsid w:val="00D55B25"/>
    <w:rsid w:val="00D85BF0"/>
    <w:rsid w:val="00D8685B"/>
    <w:rsid w:val="00D911D5"/>
    <w:rsid w:val="00DD42A1"/>
    <w:rsid w:val="00E10448"/>
    <w:rsid w:val="00E23CF4"/>
    <w:rsid w:val="00E42C2E"/>
    <w:rsid w:val="00E5755F"/>
    <w:rsid w:val="00E65367"/>
    <w:rsid w:val="00E74FE3"/>
    <w:rsid w:val="00E7776D"/>
    <w:rsid w:val="00EA0748"/>
    <w:rsid w:val="00ED727E"/>
    <w:rsid w:val="00EE3788"/>
    <w:rsid w:val="00EF6472"/>
    <w:rsid w:val="00F12964"/>
    <w:rsid w:val="00F2457E"/>
    <w:rsid w:val="00F3725C"/>
    <w:rsid w:val="00F41A8A"/>
    <w:rsid w:val="00F43FB4"/>
    <w:rsid w:val="00F442D7"/>
    <w:rsid w:val="00F5430B"/>
    <w:rsid w:val="00F55F27"/>
    <w:rsid w:val="00F67C85"/>
    <w:rsid w:val="00F746AC"/>
    <w:rsid w:val="00F766AE"/>
    <w:rsid w:val="00F9392F"/>
    <w:rsid w:val="00FB104E"/>
    <w:rsid w:val="00FC5209"/>
    <w:rsid w:val="00FC5B16"/>
    <w:rsid w:val="00FF7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B2E0D1"/>
  <w14:defaultImageDpi w14:val="32767"/>
  <w15:chartTrackingRefBased/>
  <w15:docId w15:val="{077080A4-045B-4FEF-A52D-BDB6E35C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1764"/>
  </w:style>
  <w:style w:type="paragraph" w:styleId="Heading1">
    <w:name w:val="heading 1"/>
    <w:basedOn w:val="Normal"/>
    <w:next w:val="Normal"/>
    <w:link w:val="Heading1Char"/>
    <w:autoRedefine/>
    <w:uiPriority w:val="9"/>
    <w:qFormat/>
    <w:rsid w:val="000E4452"/>
    <w:pPr>
      <w:keepNext/>
      <w:keepLines/>
      <w:spacing w:before="240" w:after="240"/>
      <w:outlineLvl w:val="0"/>
    </w:pPr>
    <w:rPr>
      <w:rFonts w:asciiTheme="majorHAnsi" w:eastAsiaTheme="majorEastAsia" w:hAnsiTheme="majorHAnsi" w:cstheme="majorBidi"/>
      <w:color w:val="2F5496" w:themeColor="accent1" w:themeShade="BF"/>
      <w:sz w:val="32"/>
      <w:szCs w:val="32"/>
      <w:u w:val="single"/>
    </w:rPr>
  </w:style>
  <w:style w:type="paragraph" w:styleId="Heading2">
    <w:name w:val="heading 2"/>
    <w:basedOn w:val="Normal"/>
    <w:next w:val="Normal"/>
    <w:link w:val="Heading2Char"/>
    <w:autoRedefine/>
    <w:uiPriority w:val="9"/>
    <w:unhideWhenUsed/>
    <w:qFormat/>
    <w:rsid w:val="00E23CF4"/>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paragraph" w:styleId="Heading3">
    <w:name w:val="heading 3"/>
    <w:basedOn w:val="Normal"/>
    <w:next w:val="Normal"/>
    <w:link w:val="Heading3Char"/>
    <w:autoRedefine/>
    <w:uiPriority w:val="9"/>
    <w:unhideWhenUsed/>
    <w:qFormat/>
    <w:rsid w:val="00D8685B"/>
    <w:pPr>
      <w:keepNext/>
      <w:keepLines/>
      <w:spacing w:before="40" w:after="0"/>
      <w:outlineLvl w:val="2"/>
    </w:pPr>
    <w:rPr>
      <w:rFonts w:asciiTheme="majorHAnsi" w:eastAsiaTheme="majorEastAsia" w:hAnsiTheme="majorHAnsi" w:cstheme="majorBidi"/>
      <w:color w:val="1F3763" w:themeColor="accent1" w:themeShade="7F"/>
      <w:sz w:val="24"/>
      <w:szCs w:val="24"/>
      <w:u w:val="single"/>
    </w:rPr>
  </w:style>
  <w:style w:type="paragraph" w:styleId="Heading4">
    <w:name w:val="heading 4"/>
    <w:basedOn w:val="Normal"/>
    <w:next w:val="Normal"/>
    <w:link w:val="Heading4Char"/>
    <w:uiPriority w:val="9"/>
    <w:semiHidden/>
    <w:unhideWhenUsed/>
    <w:qFormat/>
    <w:rsid w:val="000C48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452"/>
    <w:rPr>
      <w:rFonts w:asciiTheme="majorHAnsi" w:eastAsiaTheme="majorEastAsia" w:hAnsiTheme="majorHAnsi" w:cstheme="majorBidi"/>
      <w:color w:val="2F5496" w:themeColor="accent1" w:themeShade="BF"/>
      <w:sz w:val="32"/>
      <w:szCs w:val="32"/>
      <w:u w:val="single"/>
    </w:rPr>
  </w:style>
  <w:style w:type="paragraph" w:customStyle="1" w:styleId="ds-markdown-paragraph">
    <w:name w:val="ds-markdown-paragraph"/>
    <w:basedOn w:val="Normal"/>
    <w:rsid w:val="00AD09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EndnoteText">
    <w:name w:val="endnote text"/>
    <w:basedOn w:val="Normal"/>
    <w:link w:val="EndnoteTextChar"/>
    <w:uiPriority w:val="99"/>
    <w:semiHidden/>
    <w:unhideWhenUsed/>
    <w:rsid w:val="00BF7C5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F7C52"/>
    <w:rPr>
      <w:sz w:val="20"/>
      <w:szCs w:val="20"/>
    </w:rPr>
  </w:style>
  <w:style w:type="character" w:styleId="EndnoteReference">
    <w:name w:val="endnote reference"/>
    <w:basedOn w:val="DefaultParagraphFont"/>
    <w:uiPriority w:val="99"/>
    <w:semiHidden/>
    <w:unhideWhenUsed/>
    <w:rsid w:val="00BF7C52"/>
    <w:rPr>
      <w:vertAlign w:val="superscript"/>
    </w:rPr>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3C6FB3"/>
    <w:pPr>
      <w:spacing w:after="0" w:line="240" w:lineRule="auto"/>
    </w:pPr>
    <w:rPr>
      <w:rFonts w:ascii="Univers for KPMG" w:eastAsia="Times New Roman" w:hAnsi="Univers for KPMG" w:cs="Times New Roman"/>
      <w:sz w:val="20"/>
      <w:lang w:val="en-US"/>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3C6FB3"/>
    <w:rPr>
      <w:rFonts w:ascii="Univers for KPMG" w:eastAsia="Times New Roman" w:hAnsi="Univers for KPMG" w:cs="Times New Roman"/>
      <w:sz w:val="20"/>
      <w:lang w:val="en-US"/>
    </w:rPr>
  </w:style>
  <w:style w:type="character" w:customStyle="1" w:styleId="Heading2Char">
    <w:name w:val="Heading 2 Char"/>
    <w:basedOn w:val="DefaultParagraphFont"/>
    <w:link w:val="Heading2"/>
    <w:uiPriority w:val="9"/>
    <w:rsid w:val="00E23CF4"/>
    <w:rPr>
      <w:rFonts w:asciiTheme="majorHAnsi" w:eastAsiaTheme="majorEastAsia" w:hAnsiTheme="majorHAnsi" w:cstheme="majorBidi"/>
      <w:color w:val="2F5496" w:themeColor="accent1" w:themeShade="BF"/>
      <w:sz w:val="26"/>
      <w:szCs w:val="26"/>
      <w:u w:val="single"/>
    </w:rPr>
  </w:style>
  <w:style w:type="character" w:styleId="Strong">
    <w:name w:val="Strong"/>
    <w:basedOn w:val="DefaultParagraphFont"/>
    <w:uiPriority w:val="22"/>
    <w:qFormat/>
    <w:rsid w:val="00A63386"/>
    <w:rPr>
      <w:b/>
      <w:bCs/>
    </w:rPr>
  </w:style>
  <w:style w:type="paragraph" w:styleId="BodyText">
    <w:name w:val="Body Text"/>
    <w:basedOn w:val="Normal"/>
    <w:link w:val="BodyTextChar"/>
    <w:uiPriority w:val="1"/>
    <w:qFormat/>
    <w:rsid w:val="00EA0748"/>
    <w:pPr>
      <w:widowControl w:val="0"/>
      <w:autoSpaceDE w:val="0"/>
      <w:autoSpaceDN w:val="0"/>
      <w:spacing w:after="0" w:line="240" w:lineRule="auto"/>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EA0748"/>
    <w:rPr>
      <w:rFonts w:ascii="Calibri" w:eastAsia="Calibri" w:hAnsi="Calibri" w:cs="Calibri"/>
      <w:sz w:val="24"/>
      <w:szCs w:val="24"/>
      <w:lang w:val="en-US"/>
    </w:rPr>
  </w:style>
  <w:style w:type="table" w:styleId="TableGrid">
    <w:name w:val="Table Grid"/>
    <w:basedOn w:val="TableNormal"/>
    <w:uiPriority w:val="39"/>
    <w:rsid w:val="00EF6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7E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D8685B"/>
    <w:rPr>
      <w:rFonts w:asciiTheme="majorHAnsi" w:eastAsiaTheme="majorEastAsia" w:hAnsiTheme="majorHAnsi" w:cstheme="majorBidi"/>
      <w:color w:val="1F3763" w:themeColor="accent1" w:themeShade="7F"/>
      <w:sz w:val="24"/>
      <w:szCs w:val="24"/>
      <w:u w:val="single"/>
    </w:rPr>
  </w:style>
  <w:style w:type="character" w:styleId="Emphasis">
    <w:name w:val="Emphasis"/>
    <w:basedOn w:val="DefaultParagraphFont"/>
    <w:uiPriority w:val="20"/>
    <w:qFormat/>
    <w:rsid w:val="00084993"/>
    <w:rPr>
      <w:i/>
      <w:iCs/>
    </w:rPr>
  </w:style>
  <w:style w:type="character" w:styleId="Hyperlink">
    <w:name w:val="Hyperlink"/>
    <w:basedOn w:val="DefaultParagraphFont"/>
    <w:uiPriority w:val="99"/>
    <w:unhideWhenUsed/>
    <w:rsid w:val="00FB104E"/>
    <w:rPr>
      <w:color w:val="0563C1" w:themeColor="hyperlink"/>
      <w:u w:val="single"/>
    </w:rPr>
  </w:style>
  <w:style w:type="character" w:styleId="UnresolvedMention">
    <w:name w:val="Unresolved Mention"/>
    <w:basedOn w:val="DefaultParagraphFont"/>
    <w:uiPriority w:val="99"/>
    <w:semiHidden/>
    <w:unhideWhenUsed/>
    <w:rsid w:val="00FB104E"/>
    <w:rPr>
      <w:color w:val="605E5C"/>
      <w:shd w:val="clear" w:color="auto" w:fill="E1DFDD"/>
    </w:rPr>
  </w:style>
  <w:style w:type="character" w:styleId="FollowedHyperlink">
    <w:name w:val="FollowedHyperlink"/>
    <w:basedOn w:val="DefaultParagraphFont"/>
    <w:uiPriority w:val="99"/>
    <w:semiHidden/>
    <w:unhideWhenUsed/>
    <w:rsid w:val="00FB104E"/>
    <w:rPr>
      <w:color w:val="954F72" w:themeColor="followedHyperlink"/>
      <w:u w:val="single"/>
    </w:rPr>
  </w:style>
  <w:style w:type="paragraph" w:styleId="Header">
    <w:name w:val="header"/>
    <w:basedOn w:val="Normal"/>
    <w:link w:val="HeaderChar"/>
    <w:uiPriority w:val="99"/>
    <w:unhideWhenUsed/>
    <w:rsid w:val="00836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DF6"/>
  </w:style>
  <w:style w:type="paragraph" w:styleId="Footer">
    <w:name w:val="footer"/>
    <w:basedOn w:val="Normal"/>
    <w:link w:val="FooterChar"/>
    <w:uiPriority w:val="99"/>
    <w:unhideWhenUsed/>
    <w:rsid w:val="00836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DF6"/>
  </w:style>
  <w:style w:type="character" w:customStyle="1" w:styleId="Heading4Char">
    <w:name w:val="Heading 4 Char"/>
    <w:basedOn w:val="DefaultParagraphFont"/>
    <w:link w:val="Heading4"/>
    <w:uiPriority w:val="9"/>
    <w:semiHidden/>
    <w:rsid w:val="000C486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9387">
      <w:bodyDiv w:val="1"/>
      <w:marLeft w:val="0"/>
      <w:marRight w:val="0"/>
      <w:marTop w:val="0"/>
      <w:marBottom w:val="0"/>
      <w:divBdr>
        <w:top w:val="none" w:sz="0" w:space="0" w:color="auto"/>
        <w:left w:val="none" w:sz="0" w:space="0" w:color="auto"/>
        <w:bottom w:val="none" w:sz="0" w:space="0" w:color="auto"/>
        <w:right w:val="none" w:sz="0" w:space="0" w:color="auto"/>
      </w:divBdr>
    </w:div>
    <w:div w:id="125007453">
      <w:bodyDiv w:val="1"/>
      <w:marLeft w:val="0"/>
      <w:marRight w:val="0"/>
      <w:marTop w:val="0"/>
      <w:marBottom w:val="0"/>
      <w:divBdr>
        <w:top w:val="none" w:sz="0" w:space="0" w:color="auto"/>
        <w:left w:val="none" w:sz="0" w:space="0" w:color="auto"/>
        <w:bottom w:val="none" w:sz="0" w:space="0" w:color="auto"/>
        <w:right w:val="none" w:sz="0" w:space="0" w:color="auto"/>
      </w:divBdr>
    </w:div>
    <w:div w:id="293025906">
      <w:bodyDiv w:val="1"/>
      <w:marLeft w:val="0"/>
      <w:marRight w:val="0"/>
      <w:marTop w:val="0"/>
      <w:marBottom w:val="0"/>
      <w:divBdr>
        <w:top w:val="none" w:sz="0" w:space="0" w:color="auto"/>
        <w:left w:val="none" w:sz="0" w:space="0" w:color="auto"/>
        <w:bottom w:val="none" w:sz="0" w:space="0" w:color="auto"/>
        <w:right w:val="none" w:sz="0" w:space="0" w:color="auto"/>
      </w:divBdr>
    </w:div>
    <w:div w:id="506601543">
      <w:bodyDiv w:val="1"/>
      <w:marLeft w:val="0"/>
      <w:marRight w:val="0"/>
      <w:marTop w:val="0"/>
      <w:marBottom w:val="0"/>
      <w:divBdr>
        <w:top w:val="none" w:sz="0" w:space="0" w:color="auto"/>
        <w:left w:val="none" w:sz="0" w:space="0" w:color="auto"/>
        <w:bottom w:val="none" w:sz="0" w:space="0" w:color="auto"/>
        <w:right w:val="none" w:sz="0" w:space="0" w:color="auto"/>
      </w:divBdr>
    </w:div>
    <w:div w:id="1298872904">
      <w:bodyDiv w:val="1"/>
      <w:marLeft w:val="0"/>
      <w:marRight w:val="0"/>
      <w:marTop w:val="0"/>
      <w:marBottom w:val="0"/>
      <w:divBdr>
        <w:top w:val="none" w:sz="0" w:space="0" w:color="auto"/>
        <w:left w:val="none" w:sz="0" w:space="0" w:color="auto"/>
        <w:bottom w:val="none" w:sz="0" w:space="0" w:color="auto"/>
        <w:right w:val="none" w:sz="0" w:space="0" w:color="auto"/>
      </w:divBdr>
    </w:div>
    <w:div w:id="1923370011">
      <w:bodyDiv w:val="1"/>
      <w:marLeft w:val="0"/>
      <w:marRight w:val="0"/>
      <w:marTop w:val="0"/>
      <w:marBottom w:val="0"/>
      <w:divBdr>
        <w:top w:val="none" w:sz="0" w:space="0" w:color="auto"/>
        <w:left w:val="none" w:sz="0" w:space="0" w:color="auto"/>
        <w:bottom w:val="none" w:sz="0" w:space="0" w:color="auto"/>
        <w:right w:val="none" w:sz="0" w:space="0" w:color="auto"/>
      </w:divBdr>
    </w:div>
    <w:div w:id="209114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494F3752-A038-4341-A2DF-D52A4350CB9A}">
  <ds:schemaRefs>
    <ds:schemaRef ds:uri="http://schemas.openxmlformats.org/officeDocument/2006/bibliography"/>
  </ds:schemaRefs>
</ds:datastoreItem>
</file>

<file path=customXml/itemProps2.xml><?xml version="1.0" encoding="utf-8"?>
<ds:datastoreItem xmlns:ds="http://schemas.openxmlformats.org/officeDocument/2006/customXml" ds:itemID="{9B5B0B26-D180-4291-A7B5-B22F161D4B56}"/>
</file>

<file path=customXml/itemProps3.xml><?xml version="1.0" encoding="utf-8"?>
<ds:datastoreItem xmlns:ds="http://schemas.openxmlformats.org/officeDocument/2006/customXml" ds:itemID="{C6F922A8-395D-4600-A652-94924966EC3C}"/>
</file>

<file path=customXml/itemProps4.xml><?xml version="1.0" encoding="utf-8"?>
<ds:datastoreItem xmlns:ds="http://schemas.openxmlformats.org/officeDocument/2006/customXml" ds:itemID="{2841F90C-9C84-4AE0-93E5-B9E6C890FFCD}"/>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3326</Characters>
  <Application>Microsoft Office Word</Application>
  <DocSecurity>0</DocSecurity>
  <Lines>277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Arugolli Subhash</dc:creator>
  <cp:keywords/>
  <dc:description/>
  <cp:lastModifiedBy>Pavan Kumar Deshapande</cp:lastModifiedBy>
  <cp:revision>2</cp:revision>
  <dcterms:created xsi:type="dcterms:W3CDTF">2025-08-19T09:40:00Z</dcterms:created>
  <dcterms:modified xsi:type="dcterms:W3CDTF">2025-08-19T09:40:00Z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6fa4c7f8-8c1d-444d-ba49-5b1eba847fb2</vt:lpwstr>
  </property>
  <property fmtid="{D5CDD505-2E9C-101B-9397-08002B2CF9AE}" pid="3" name="ContentTypeId">
    <vt:lpwstr>0x0101009E122DC226B323479F380595590B6668</vt:lpwstr>
  </property>
  <property fmtid="{D5CDD505-2E9C-101B-9397-08002B2CF9AE}" pid="4" name="Order">
    <vt:r8>576200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