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sz w:val="24"/>
              </w:rPr>
              <w:t>Date</w:t>
            </w:r>
          </w:p>
        </w:tc>
        <w:tc>
          <w:tcPr>
            <w:tcW w:type="dxa" w:w="4680"/>
          </w:tcPr>
          <w:p>
            <w:r/>
            <w:r>
              <w:rPr>
                <w:rFonts w:ascii="Times New Roman" w:hAnsi="Times New Roman" w:eastAsia="Times New Roman"/>
                <w:b w:val="0"/>
                <w:sz w:val="24"/>
              </w:rPr>
              <w:t>08-09-2026</w:t>
            </w:r>
          </w:p>
        </w:tc>
      </w:tr>
      <w:tr>
        <w:tc>
          <w:tcPr>
            <w:tcW w:type="dxa" w:w="4680"/>
          </w:tcPr>
          <w:p>
            <w:r/>
            <w:r>
              <w:rPr>
                <w:rFonts w:ascii="Times New Roman" w:hAnsi="Times New Roman" w:eastAsia="Times New Roman"/>
                <w:b/>
                <w:sz w:val="24"/>
              </w:rPr>
              <w:t>Topics</w:t>
            </w:r>
          </w:p>
        </w:tc>
        <w:tc>
          <w:tcPr>
            <w:tcW w:type="dxa" w:w="4680"/>
          </w:tcPr>
          <w:p>
            <w:r/>
            <w:r>
              <w:rPr>
                <w:rFonts w:ascii="Times New Roman" w:hAnsi="Times New Roman" w:eastAsia="Times New Roman"/>
                <w:b w:val="0"/>
                <w:sz w:val="24"/>
              </w:rPr>
              <w:t>Sec. 68(2) correction and Cross-reference Rule 123 — Schedule Sr.18; modules #14, #15</w:t>
            </w:r>
          </w:p>
        </w:tc>
      </w:tr>
      <w:tr>
        <w:tc>
          <w:tcPr>
            <w:tcW w:type="dxa" w:w="4680"/>
          </w:tcPr>
          <w:p>
            <w:r/>
            <w:r>
              <w:rPr>
                <w:rFonts w:ascii="Times New Roman" w:hAnsi="Times New Roman" w:eastAsia="Times New Roman"/>
                <w:b/>
                <w:sz w:val="24"/>
              </w:rPr>
              <w:t>Attendees</w:t>
            </w:r>
          </w:p>
        </w:tc>
        <w:tc>
          <w:tcPr>
            <w:tcW w:type="dxa" w:w="4680"/>
          </w:tcPr>
          <w:p>
            <w:r/>
            <w:r>
              <w:rPr>
                <w:rFonts w:ascii="Times New Roman" w:hAnsi="Times New Roman" w:eastAsia="Times New Roman"/>
                <w:b w:val="0"/>
                <w:sz w:val="24"/>
              </w:rPr>
              <w:t>Kaveri IT Cell, AIGR Computers team, Domain Expert and committee members</w:t>
            </w:r>
          </w:p>
        </w:tc>
      </w:tr>
      <w:tr>
        <w:tc>
          <w:tcPr>
            <w:tcW w:type="dxa" w:w="4680"/>
          </w:tcPr>
          <w:p>
            <w:r/>
            <w:r>
              <w:rPr>
                <w:rFonts w:ascii="Times New Roman" w:hAnsi="Times New Roman" w:eastAsia="Times New Roman"/>
                <w:b/>
                <w:sz w:val="24"/>
              </w:rPr>
              <w:t>Version</w:t>
            </w:r>
          </w:p>
        </w:tc>
        <w:tc>
          <w:tcPr>
            <w:tcW w:type="dxa" w:w="4680"/>
          </w:tcPr>
          <w:p>
            <w:r/>
            <w:r>
              <w:rPr>
                <w:rFonts w:ascii="Times New Roman" w:hAnsi="Times New Roman" w:eastAsia="Times New Roman"/>
                <w:b w:val="0"/>
                <w:sz w:val="24"/>
              </w:rPr>
              <w:t>1.1 (15-09-2026) — Acts, sections, Rules, notifications, pain points and user stories for Sec. 68(2) correction and Rule 123 cross-reference</w:t>
            </w:r>
          </w:p>
        </w:tc>
      </w:tr>
    </w:tbl>
    <w:p/>
    <w:p>
      <w:r>
        <w:rPr>
          <w:rFonts w:ascii="Segoe UI" w:hAnsi="Segoe UI" w:eastAsia="Segoe UI"/>
          <w:b/>
          <w:sz w:val="27"/>
        </w:rPr>
        <w:t xml:space="preserve">Scope: </w:t>
      </w:r>
      <w:r>
        <w:rPr>
          <w:rFonts w:ascii="Segoe UI" w:hAnsi="Segoe UI" w:eastAsia="Segoe UI"/>
          <w:b w:val="0"/>
          <w:sz w:val="27"/>
        </w:rPr>
        <w:t>Discussion topic dated 08-09-2026 (Schedule Sr.18) — (1) Sec. 68(2) correction of errors regarding the book or office in which a document was registered (wrong book / wrong office / related rectification under District Registrar’s order); (2) Cross-reference under Rule 123 when a later document or communication revokes, cancels, rectifies or modifies a previously registered or Rule 17-filed entry, including index notes. Source folder: Acts_Rules/Document/.</w:t>
      </w:r>
    </w:p>
    <w:p/>
    <w:p>
      <w:r>
        <w:rPr>
          <w:rFonts w:ascii="Segoe UI" w:hAnsi="Segoe UI" w:eastAsia="Segoe UI"/>
          <w:b/>
          <w:sz w:val="29"/>
        </w:rPr>
        <w:t>1. Primary Acts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Act / instrument</w:t>
            </w:r>
          </w:p>
        </w:tc>
        <w:tc>
          <w:tcPr>
            <w:tcW w:type="dxa" w:w="3120"/>
            <w:shd w:val="clear" w:color="auto" w:fill="D9E2F3"/>
          </w:tcPr>
          <w:p>
            <w:r>
              <w:rPr>
                <w:b/>
              </w:rPr>
            </w:r>
            <w:r>
              <w:rPr>
                <w:rFonts w:ascii="Times New Roman" w:hAnsi="Times New Roman" w:eastAsia="Times New Roman"/>
                <w:b/>
                <w:sz w:val="24"/>
              </w:rPr>
              <w:t>Role</w:t>
            </w:r>
          </w:p>
        </w:tc>
        <w:tc>
          <w:tcPr>
            <w:tcW w:type="dxa" w:w="3120"/>
            <w:shd w:val="clear" w:color="auto" w:fill="D9E2F3"/>
          </w:tcPr>
          <w:p>
            <w:r>
              <w:rPr>
                <w:b/>
              </w:rPr>
            </w:r>
            <w:r>
              <w:rPr>
                <w:rFonts w:ascii="Times New Roman" w:hAnsi="Times New Roman" w:eastAsia="Times New Roman"/>
                <w:b/>
                <w:sz w:val="24"/>
              </w:rPr>
              <w:t>Relevance to topics</w:t>
            </w:r>
          </w:p>
        </w:tc>
      </w:tr>
      <w:tr>
        <w:tc>
          <w:tcPr>
            <w:tcW w:type="dxa" w:w="3120"/>
          </w:tcPr>
          <w:p>
            <w:r/>
            <w:r>
              <w:rPr>
                <w:rFonts w:ascii="Times New Roman" w:hAnsi="Times New Roman" w:eastAsia="Times New Roman"/>
                <w:b w:val="0"/>
                <w:sz w:val="20"/>
              </w:rPr>
              <w:t>The Registration Act, 1908 (Central Act 16 of 1908)</w:t>
            </w:r>
          </w:p>
        </w:tc>
        <w:tc>
          <w:tcPr>
            <w:tcW w:type="dxa" w:w="3120"/>
          </w:tcPr>
          <w:p>
            <w:r/>
            <w:r>
              <w:rPr>
                <w:rFonts w:ascii="Times New Roman" w:hAnsi="Times New Roman" w:eastAsia="Times New Roman"/>
                <w:b w:val="0"/>
                <w:sz w:val="20"/>
              </w:rPr>
              <w:t>Primary — Sec. 68(2) correction</w:t>
            </w:r>
          </w:p>
        </w:tc>
        <w:tc>
          <w:tcPr>
            <w:tcW w:type="dxa" w:w="3120"/>
          </w:tcPr>
          <w:p>
            <w:r/>
            <w:r>
              <w:rPr>
                <w:rFonts w:ascii="Times New Roman" w:hAnsi="Times New Roman" w:eastAsia="Times New Roman"/>
                <w:b w:val="0"/>
                <w:sz w:val="20"/>
              </w:rPr>
              <w:t>Sec. 68(2) — District Registrar may issue any order consistent with the Act for rectification of any error regarding the book or the office in which a document has been registered (on complaint or otherwise); Sec. 68(1) — SRO under DR superintendence; Secs. 51, 54–55 — books and indexes that must stay consistent after correction</w:t>
            </w:r>
          </w:p>
        </w:tc>
      </w:tr>
      <w:tr>
        <w:tc>
          <w:tcPr>
            <w:tcW w:type="dxa" w:w="3120"/>
          </w:tcPr>
          <w:p>
            <w:r/>
            <w:r>
              <w:rPr>
                <w:rFonts w:ascii="Times New Roman" w:hAnsi="Times New Roman" w:eastAsia="Times New Roman"/>
                <w:b w:val="0"/>
                <w:sz w:val="20"/>
              </w:rPr>
              <w:t>The Karnataka Registration Rules, 1965</w:t>
            </w:r>
          </w:p>
        </w:tc>
        <w:tc>
          <w:tcPr>
            <w:tcW w:type="dxa" w:w="3120"/>
          </w:tcPr>
          <w:p>
            <w:r/>
            <w:r>
              <w:rPr>
                <w:rFonts w:ascii="Times New Roman" w:hAnsi="Times New Roman" w:eastAsia="Times New Roman"/>
                <w:b w:val="0"/>
                <w:sz w:val="20"/>
              </w:rPr>
              <w:t>Primary (Rules) — 68(2) correction &amp; Rule 123 cross-reference</w:t>
            </w:r>
          </w:p>
        </w:tc>
        <w:tc>
          <w:tcPr>
            <w:tcW w:type="dxa" w:w="3120"/>
          </w:tcPr>
          <w:p>
            <w:r/>
            <w:r>
              <w:rPr>
                <w:rFonts w:ascii="Times New Roman" w:hAnsi="Times New Roman" w:eastAsia="Times New Roman"/>
                <w:b w:val="0"/>
                <w:sz w:val="20"/>
              </w:rPr>
              <w:t>Ch. XXIII Errors in Registration (Rules 167–169) — wrong book / wrong office correction under Sec. 68 direction; Rule 123 — cross-notes on revocation / cancellation / rectification / modification of a previously registered or Rule 17-filed document, including Index II / index item notes; Rule 165 — erratum and cross-references in indexes for memorandum corrections</w:t>
            </w:r>
          </w:p>
        </w:tc>
      </w:tr>
    </w:tbl>
    <w:p/>
    <w:p>
      <w:r>
        <w:rPr>
          <w:rFonts w:ascii="Segoe UI" w:hAnsi="Segoe UI" w:eastAsia="Segoe UI"/>
          <w:b/>
          <w:sz w:val="29"/>
        </w:rPr>
        <w:t>2. Relevant sections</w:t>
      </w:r>
    </w:p>
    <w:p/>
    <w:p>
      <w:r>
        <w:rPr>
          <w:rFonts w:ascii="Segoe UI" w:hAnsi="Segoe UI" w:eastAsia="Segoe UI"/>
          <w:b/>
          <w:sz w:val="27"/>
        </w:rPr>
        <w:t>2.1 Sec. 68(2) correction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 68(1)</w:t>
            </w:r>
          </w:p>
        </w:tc>
        <w:tc>
          <w:tcPr>
            <w:tcW w:type="dxa" w:w="3120"/>
          </w:tcPr>
          <w:p>
            <w:r/>
            <w:r>
              <w:rPr>
                <w:rFonts w:ascii="Times New Roman" w:hAnsi="Times New Roman" w:eastAsia="Times New Roman"/>
                <w:b w:val="0"/>
                <w:sz w:val="20"/>
              </w:rPr>
              <w:t>Registrar superintendence and control of Sub-Registrars</w:t>
            </w:r>
          </w:p>
        </w:tc>
        <w:tc>
          <w:tcPr>
            <w:tcW w:type="dxa" w:w="3120"/>
          </w:tcPr>
          <w:p>
            <w:r/>
            <w:r>
              <w:rPr>
                <w:rFonts w:ascii="Times New Roman" w:hAnsi="Times New Roman" w:eastAsia="Times New Roman"/>
                <w:b w:val="0"/>
                <w:sz w:val="20"/>
              </w:rPr>
              <w:t>DR login owns oversight of SRO registration acts / omissions feeding correction cases</w:t>
            </w:r>
          </w:p>
        </w:tc>
      </w:tr>
      <w:tr>
        <w:tc>
          <w:tcPr>
            <w:tcW w:type="dxa" w:w="3120"/>
          </w:tcPr>
          <w:p>
            <w:r/>
            <w:r>
              <w:rPr>
                <w:rFonts w:ascii="Times New Roman" w:hAnsi="Times New Roman" w:eastAsia="Times New Roman"/>
                <w:b w:val="0"/>
                <w:sz w:val="20"/>
              </w:rPr>
              <w:t>Sec. 68(2)</w:t>
            </w:r>
          </w:p>
        </w:tc>
        <w:tc>
          <w:tcPr>
            <w:tcW w:type="dxa" w:w="3120"/>
          </w:tcPr>
          <w:p>
            <w:r/>
            <w:r>
              <w:rPr>
                <w:rFonts w:ascii="Times New Roman" w:hAnsi="Times New Roman" w:eastAsia="Times New Roman"/>
                <w:b w:val="0"/>
                <w:sz w:val="20"/>
              </w:rPr>
              <w:t>Registrar’s order to rectify error regarding book or office of registration</w:t>
            </w:r>
          </w:p>
        </w:tc>
        <w:tc>
          <w:tcPr>
            <w:tcW w:type="dxa" w:w="3120"/>
          </w:tcPr>
          <w:p>
            <w:r/>
            <w:r>
              <w:rPr>
                <w:rFonts w:ascii="Times New Roman" w:hAnsi="Times New Roman" w:eastAsia="Times New Roman"/>
                <w:b w:val="0"/>
                <w:sz w:val="20"/>
              </w:rPr>
              <w:t>Core 68(2) correction module — DR order (on complaint or suo motu) to fix wrong book / wrong office / related registration error; triggers re-registration / re-copy / re-index workflow without fresh fee where Rules so provide</w:t>
            </w:r>
          </w:p>
        </w:tc>
      </w:tr>
      <w:tr>
        <w:tc>
          <w:tcPr>
            <w:tcW w:type="dxa" w:w="3120"/>
          </w:tcPr>
          <w:p>
            <w:r/>
            <w:r>
              <w:rPr>
                <w:rFonts w:ascii="Times New Roman" w:hAnsi="Times New Roman" w:eastAsia="Times New Roman"/>
                <w:b w:val="0"/>
                <w:sz w:val="20"/>
              </w:rPr>
              <w:t>Sec. 51</w:t>
            </w:r>
          </w:p>
        </w:tc>
        <w:tc>
          <w:tcPr>
            <w:tcW w:type="dxa" w:w="3120"/>
          </w:tcPr>
          <w:p>
            <w:r/>
            <w:r>
              <w:rPr>
                <w:rFonts w:ascii="Times New Roman" w:hAnsi="Times New Roman" w:eastAsia="Times New Roman"/>
                <w:b w:val="0"/>
                <w:sz w:val="20"/>
              </w:rPr>
              <w:t>Register-books to be kept</w:t>
            </w:r>
          </w:p>
        </w:tc>
        <w:tc>
          <w:tcPr>
            <w:tcW w:type="dxa" w:w="3120"/>
          </w:tcPr>
          <w:p>
            <w:r/>
            <w:r>
              <w:rPr>
                <w:rFonts w:ascii="Times New Roman" w:hAnsi="Times New Roman" w:eastAsia="Times New Roman"/>
                <w:b w:val="0"/>
                <w:sz w:val="20"/>
              </w:rPr>
              <w:t>Target book / volume / page after correction must match statutory books</w:t>
            </w:r>
          </w:p>
        </w:tc>
      </w:tr>
      <w:tr>
        <w:tc>
          <w:tcPr>
            <w:tcW w:type="dxa" w:w="3120"/>
          </w:tcPr>
          <w:p>
            <w:r/>
            <w:r>
              <w:rPr>
                <w:rFonts w:ascii="Times New Roman" w:hAnsi="Times New Roman" w:eastAsia="Times New Roman"/>
                <w:b w:val="0"/>
                <w:sz w:val="20"/>
              </w:rPr>
              <w:t>Secs. 54–55</w:t>
            </w:r>
          </w:p>
        </w:tc>
        <w:tc>
          <w:tcPr>
            <w:tcW w:type="dxa" w:w="3120"/>
          </w:tcPr>
          <w:p>
            <w:r/>
            <w:r>
              <w:rPr>
                <w:rFonts w:ascii="Times New Roman" w:hAnsi="Times New Roman" w:eastAsia="Times New Roman"/>
                <w:b w:val="0"/>
                <w:sz w:val="20"/>
              </w:rPr>
              <w:t>Indexes Nos. I–IV</w:t>
            </w:r>
          </w:p>
        </w:tc>
        <w:tc>
          <w:tcPr>
            <w:tcW w:type="dxa" w:w="3120"/>
          </w:tcPr>
          <w:p>
            <w:r/>
            <w:r>
              <w:rPr>
                <w:rFonts w:ascii="Times New Roman" w:hAnsi="Times New Roman" w:eastAsia="Times New Roman"/>
                <w:b w:val="0"/>
                <w:sz w:val="20"/>
              </w:rPr>
              <w:t>Index entries must be corrected / cross-referenced when book or particulars are rectified (see Rules 123(ii), 165, 167(iv))</w:t>
            </w:r>
          </w:p>
        </w:tc>
      </w:tr>
      <w:tr>
        <w:tc>
          <w:tcPr>
            <w:tcW w:type="dxa" w:w="3120"/>
          </w:tcPr>
          <w:p>
            <w:r/>
            <w:r>
              <w:rPr>
                <w:rFonts w:ascii="Times New Roman" w:hAnsi="Times New Roman" w:eastAsia="Times New Roman"/>
                <w:b w:val="0"/>
                <w:sz w:val="20"/>
              </w:rPr>
              <w:t>Secs. 64–66</w:t>
            </w:r>
          </w:p>
        </w:tc>
        <w:tc>
          <w:tcPr>
            <w:tcW w:type="dxa" w:w="3120"/>
          </w:tcPr>
          <w:p>
            <w:r/>
            <w:r>
              <w:rPr>
                <w:rFonts w:ascii="Times New Roman" w:hAnsi="Times New Roman" w:eastAsia="Times New Roman"/>
                <w:b w:val="0"/>
                <w:sz w:val="20"/>
              </w:rPr>
              <w:t>Memoranda / copies to other offices</w:t>
            </w:r>
          </w:p>
        </w:tc>
        <w:tc>
          <w:tcPr>
            <w:tcW w:type="dxa" w:w="3120"/>
          </w:tcPr>
          <w:p>
            <w:r/>
            <w:r>
              <w:rPr>
                <w:rFonts w:ascii="Times New Roman" w:hAnsi="Times New Roman" w:eastAsia="Times New Roman"/>
                <w:b w:val="0"/>
                <w:sz w:val="20"/>
              </w:rPr>
              <w:t>Wrong-office / wrong-book corrections may require free re-forwardal of memo/copy (Rule 168–169)</w:t>
            </w:r>
          </w:p>
        </w:tc>
      </w:tr>
    </w:tbl>
    <w:p/>
    <w:p>
      <w:r>
        <w:rPr>
          <w:rFonts w:ascii="Segoe UI" w:hAnsi="Segoe UI" w:eastAsia="Segoe UI"/>
          <w:b/>
          <w:sz w:val="27"/>
        </w:rPr>
        <w:t>2.2 Cross-reference Rule 123 (context sections)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 89 / Rule 17 filing (context)</w:t>
            </w:r>
          </w:p>
        </w:tc>
        <w:tc>
          <w:tcPr>
            <w:tcW w:type="dxa" w:w="3120"/>
          </w:tcPr>
          <w:p>
            <w:r/>
            <w:r>
              <w:rPr>
                <w:rFonts w:ascii="Times New Roman" w:hAnsi="Times New Roman" w:eastAsia="Times New Roman"/>
                <w:b w:val="0"/>
                <w:sz w:val="20"/>
              </w:rPr>
              <w:t>Documents / returns filed under Sec. 89 and Rule 17 supplements</w:t>
            </w:r>
          </w:p>
        </w:tc>
        <w:tc>
          <w:tcPr>
            <w:tcW w:type="dxa" w:w="3120"/>
          </w:tcPr>
          <w:p>
            <w:r/>
            <w:r>
              <w:rPr>
                <w:rFonts w:ascii="Times New Roman" w:hAnsi="Times New Roman" w:eastAsia="Times New Roman"/>
                <w:b w:val="0"/>
                <w:sz w:val="20"/>
              </w:rPr>
              <w:t>Rule 123 also applies when a later document or communication affects a Sec. 89 / Rule 17 filed paper (e.g. land acquisition return)</w:t>
            </w:r>
          </w:p>
        </w:tc>
      </w:tr>
      <w:tr>
        <w:tc>
          <w:tcPr>
            <w:tcW w:type="dxa" w:w="3120"/>
          </w:tcPr>
          <w:p>
            <w:r/>
            <w:r>
              <w:rPr>
                <w:rFonts w:ascii="Times New Roman" w:hAnsi="Times New Roman" w:eastAsia="Times New Roman"/>
                <w:b w:val="0"/>
                <w:sz w:val="20"/>
              </w:rPr>
              <w:t>Sec. 17 / optional &amp; compulsory registration (context)</w:t>
            </w:r>
          </w:p>
        </w:tc>
        <w:tc>
          <w:tcPr>
            <w:tcW w:type="dxa" w:w="3120"/>
          </w:tcPr>
          <w:p>
            <w:r/>
            <w:r>
              <w:rPr>
                <w:rFonts w:ascii="Times New Roman" w:hAnsi="Times New Roman" w:eastAsia="Times New Roman"/>
                <w:b w:val="0"/>
                <w:sz w:val="20"/>
              </w:rPr>
              <w:t>Later deed that revokes, cancels, rectifies or modifies an earlier deed</w:t>
            </w:r>
          </w:p>
        </w:tc>
        <w:tc>
          <w:tcPr>
            <w:tcW w:type="dxa" w:w="3120"/>
          </w:tcPr>
          <w:p>
            <w:r/>
            <w:r>
              <w:rPr>
                <w:rFonts w:ascii="Times New Roman" w:hAnsi="Times New Roman" w:eastAsia="Times New Roman"/>
                <w:b w:val="0"/>
                <w:sz w:val="20"/>
              </w:rPr>
              <w:t>New registration under ordinary presentation rules; Rule 123 then places cross-notes on both entries</w:t>
            </w:r>
          </w:p>
        </w:tc>
      </w:tr>
    </w:tbl>
    <w:p/>
    <w:p>
      <w:r>
        <w:rPr>
          <w:rFonts w:ascii="Segoe UI" w:hAnsi="Segoe UI" w:eastAsia="Segoe UI"/>
          <w:b/>
          <w:sz w:val="29"/>
        </w:rPr>
        <w:t>3. Relevant Rules — Karnataka Registration Rules, 1965</w:t>
      </w:r>
    </w:p>
    <w:p/>
    <w:p>
      <w:r>
        <w:rPr>
          <w:rFonts w:ascii="Segoe UI" w:hAnsi="Segoe UI" w:eastAsia="Segoe UI"/>
          <w:b/>
          <w:sz w:val="27"/>
        </w:rPr>
        <w:t>3.1 Sec. 68(2) correction / Errors in Registration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Rule</w:t>
            </w:r>
          </w:p>
        </w:tc>
        <w:tc>
          <w:tcPr>
            <w:tcW w:type="dxa" w:w="3120"/>
            <w:shd w:val="clear" w:color="auto" w:fill="D9E2F3"/>
          </w:tcPr>
          <w:p>
            <w:r>
              <w:rPr>
                <w:b/>
              </w:rPr>
            </w:r>
            <w:r>
              <w:rPr>
                <w:rFonts w:ascii="Times New Roman" w:hAnsi="Times New Roman" w:eastAsia="Times New Roman"/>
                <w:b/>
                <w:sz w:val="24"/>
              </w:rPr>
              <w:t>Requirement</w:t>
            </w:r>
          </w:p>
        </w:tc>
        <w:tc>
          <w:tcPr>
            <w:tcW w:type="dxa" w:w="3120"/>
            <w:shd w:val="clear" w:color="auto" w:fill="D9E2F3"/>
          </w:tcPr>
          <w:p>
            <w:r>
              <w:rPr>
                <w:b/>
              </w:rPr>
            </w:r>
            <w:r>
              <w:rPr>
                <w:rFonts w:ascii="Times New Roman" w:hAnsi="Times New Roman" w:eastAsia="Times New Roman"/>
                <w:b/>
                <w:sz w:val="24"/>
              </w:rPr>
              <w:t>System feature</w:t>
            </w:r>
          </w:p>
        </w:tc>
      </w:tr>
      <w:tr>
        <w:tc>
          <w:tcPr>
            <w:tcW w:type="dxa" w:w="3120"/>
          </w:tcPr>
          <w:p>
            <w:r/>
            <w:r>
              <w:rPr>
                <w:rFonts w:ascii="Times New Roman" w:hAnsi="Times New Roman" w:eastAsia="Times New Roman"/>
                <w:b w:val="0"/>
                <w:sz w:val="20"/>
              </w:rPr>
              <w:t>Rule 167 (Ch. XXIII)</w:t>
            </w:r>
          </w:p>
        </w:tc>
        <w:tc>
          <w:tcPr>
            <w:tcW w:type="dxa" w:w="3120"/>
          </w:tcPr>
          <w:p>
            <w:r/>
            <w:r>
              <w:rPr>
                <w:rFonts w:ascii="Times New Roman" w:hAnsi="Times New Roman" w:eastAsia="Times New Roman"/>
                <w:b w:val="0"/>
                <w:sz w:val="20"/>
              </w:rPr>
              <w:t>Document registered / copied in a wrong Book — DR sanction; fresh copy in proper book; red-ink footnotes both ways; indexes not cancelled but cross-referenced</w:t>
            </w:r>
          </w:p>
        </w:tc>
        <w:tc>
          <w:tcPr>
            <w:tcW w:type="dxa" w:w="3120"/>
          </w:tcPr>
          <w:p>
            <w:r/>
            <w:r>
              <w:rPr>
                <w:rFonts w:ascii="Times New Roman" w:hAnsi="Times New Roman" w:eastAsia="Times New Roman"/>
                <w:b w:val="0"/>
                <w:sz w:val="20"/>
              </w:rPr>
              <w:t>68(2) wrong-book correction workflow; dual book footnotes; re-index with cross-references</w:t>
            </w:r>
          </w:p>
        </w:tc>
      </w:tr>
      <w:tr>
        <w:tc>
          <w:tcPr>
            <w:tcW w:type="dxa" w:w="3120"/>
          </w:tcPr>
          <w:p>
            <w:r/>
            <w:r>
              <w:rPr>
                <w:rFonts w:ascii="Times New Roman" w:hAnsi="Times New Roman" w:eastAsia="Times New Roman"/>
                <w:b w:val="0"/>
                <w:sz w:val="20"/>
              </w:rPr>
              <w:t>Rule 168</w:t>
            </w:r>
          </w:p>
        </w:tc>
        <w:tc>
          <w:tcPr>
            <w:tcW w:type="dxa" w:w="3120"/>
          </w:tcPr>
          <w:p>
            <w:r/>
            <w:r>
              <w:rPr>
                <w:rFonts w:ascii="Times New Roman" w:hAnsi="Times New Roman" w:eastAsia="Times New Roman"/>
                <w:b w:val="0"/>
                <w:sz w:val="20"/>
              </w:rPr>
              <w:t>Correction when memorandum / copy under Secs. 64–67 was for wrong Book — error notice / fresh memo free of cost</w:t>
            </w:r>
          </w:p>
        </w:tc>
        <w:tc>
          <w:tcPr>
            <w:tcW w:type="dxa" w:w="3120"/>
          </w:tcPr>
          <w:p>
            <w:r/>
            <w:r>
              <w:rPr>
                <w:rFonts w:ascii="Times New Roman" w:hAnsi="Times New Roman" w:eastAsia="Times New Roman"/>
                <w:b w:val="0"/>
                <w:sz w:val="20"/>
              </w:rPr>
              <w:t>Cross-office memo repair after wrong-book registration</w:t>
            </w:r>
          </w:p>
        </w:tc>
      </w:tr>
      <w:tr>
        <w:tc>
          <w:tcPr>
            <w:tcW w:type="dxa" w:w="3120"/>
          </w:tcPr>
          <w:p>
            <w:r/>
            <w:r>
              <w:rPr>
                <w:rFonts w:ascii="Times New Roman" w:hAnsi="Times New Roman" w:eastAsia="Times New Roman"/>
                <w:b w:val="0"/>
                <w:sz w:val="20"/>
              </w:rPr>
              <w:t>Rule 169</w:t>
            </w:r>
          </w:p>
        </w:tc>
        <w:tc>
          <w:tcPr>
            <w:tcW w:type="dxa" w:w="3120"/>
          </w:tcPr>
          <w:p>
            <w:r/>
            <w:r>
              <w:rPr>
                <w:rFonts w:ascii="Times New Roman" w:hAnsi="Times New Roman" w:eastAsia="Times New Roman"/>
                <w:b w:val="0"/>
                <w:sz w:val="20"/>
              </w:rPr>
              <w:t>Document registered in a wrong office — parties advised to apply to Registrar under Sec. 68; fresh registration without fee; original office forwards free memo/copy to proper office</w:t>
            </w:r>
          </w:p>
        </w:tc>
        <w:tc>
          <w:tcPr>
            <w:tcW w:type="dxa" w:w="3120"/>
          </w:tcPr>
          <w:p>
            <w:r/>
            <w:r>
              <w:rPr>
                <w:rFonts w:ascii="Times New Roman" w:hAnsi="Times New Roman" w:eastAsia="Times New Roman"/>
                <w:b w:val="0"/>
                <w:sz w:val="20"/>
              </w:rPr>
              <w:t>Core 68(2) wrong-office correction path</w:t>
            </w:r>
          </w:p>
        </w:tc>
      </w:tr>
      <w:tr>
        <w:tc>
          <w:tcPr>
            <w:tcW w:type="dxa" w:w="3120"/>
          </w:tcPr>
          <w:p>
            <w:r/>
            <w:r>
              <w:rPr>
                <w:rFonts w:ascii="Times New Roman" w:hAnsi="Times New Roman" w:eastAsia="Times New Roman"/>
                <w:b w:val="0"/>
                <w:sz w:val="20"/>
              </w:rPr>
              <w:t>Rule 165</w:t>
            </w:r>
          </w:p>
        </w:tc>
        <w:tc>
          <w:tcPr>
            <w:tcW w:type="dxa" w:w="3120"/>
          </w:tcPr>
          <w:p>
            <w:r/>
            <w:r>
              <w:rPr>
                <w:rFonts w:ascii="Times New Roman" w:hAnsi="Times New Roman" w:eastAsia="Times New Roman"/>
                <w:b w:val="0"/>
                <w:sz w:val="20"/>
              </w:rPr>
              <w:t>Corrections in memoranda — erratum filed in Supplement Book 1 Part I; note on original; indexes corrected with cross-references</w:t>
            </w:r>
          </w:p>
        </w:tc>
        <w:tc>
          <w:tcPr>
            <w:tcW w:type="dxa" w:w="3120"/>
          </w:tcPr>
          <w:p>
            <w:r/>
            <w:r>
              <w:rPr>
                <w:rFonts w:ascii="Times New Roman" w:hAnsi="Times New Roman" w:eastAsia="Times New Roman"/>
                <w:b w:val="0"/>
                <w:sz w:val="20"/>
              </w:rPr>
              <w:t>Memo / index correction supporting 68(2) and cross-office consistency</w:t>
            </w:r>
          </w:p>
        </w:tc>
      </w:tr>
    </w:tbl>
    <w:p/>
    <w:p>
      <w:r>
        <w:rPr>
          <w:rFonts w:ascii="Segoe UI" w:hAnsi="Segoe UI" w:eastAsia="Segoe UI"/>
          <w:b/>
          <w:sz w:val="27"/>
        </w:rPr>
        <w:t>3.2 Cross-reference Rule 123</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Rule</w:t>
            </w:r>
          </w:p>
        </w:tc>
        <w:tc>
          <w:tcPr>
            <w:tcW w:type="dxa" w:w="3120"/>
            <w:shd w:val="clear" w:color="auto" w:fill="D9E2F3"/>
          </w:tcPr>
          <w:p>
            <w:r>
              <w:rPr>
                <w:b/>
              </w:rPr>
            </w:r>
            <w:r>
              <w:rPr>
                <w:rFonts w:ascii="Times New Roman" w:hAnsi="Times New Roman" w:eastAsia="Times New Roman"/>
                <w:b/>
                <w:sz w:val="24"/>
              </w:rPr>
              <w:t>Requirement</w:t>
            </w:r>
          </w:p>
        </w:tc>
        <w:tc>
          <w:tcPr>
            <w:tcW w:type="dxa" w:w="3120"/>
            <w:shd w:val="clear" w:color="auto" w:fill="D9E2F3"/>
          </w:tcPr>
          <w:p>
            <w:r>
              <w:rPr>
                <w:b/>
              </w:rPr>
            </w:r>
            <w:r>
              <w:rPr>
                <w:rFonts w:ascii="Times New Roman" w:hAnsi="Times New Roman" w:eastAsia="Times New Roman"/>
                <w:b/>
                <w:sz w:val="24"/>
              </w:rPr>
              <w:t>System feature</w:t>
            </w:r>
          </w:p>
        </w:tc>
      </w:tr>
      <w:tr>
        <w:tc>
          <w:tcPr>
            <w:tcW w:type="dxa" w:w="3120"/>
          </w:tcPr>
          <w:p>
            <w:r/>
            <w:r>
              <w:rPr>
                <w:rFonts w:ascii="Times New Roman" w:hAnsi="Times New Roman" w:eastAsia="Times New Roman"/>
                <w:b w:val="0"/>
                <w:sz w:val="20"/>
              </w:rPr>
              <w:t>Rule 123(i)</w:t>
            </w:r>
          </w:p>
        </w:tc>
        <w:tc>
          <w:tcPr>
            <w:tcW w:type="dxa" w:w="3120"/>
          </w:tcPr>
          <w:p>
            <w:r/>
            <w:r>
              <w:rPr>
                <w:rFonts w:ascii="Times New Roman" w:hAnsi="Times New Roman" w:eastAsia="Times New Roman"/>
                <w:b w:val="0"/>
                <w:sz w:val="20"/>
              </w:rPr>
              <w:t>On registration of a document (or receipt of Revenue / Court communication) that revokes, cancels, rectifies an error in, or modifies a previously registered / Rule 17-filed document — enter mutual footnotes on the later and earlier entries</w:t>
            </w:r>
          </w:p>
        </w:tc>
        <w:tc>
          <w:tcPr>
            <w:tcW w:type="dxa" w:w="3120"/>
          </w:tcPr>
          <w:p>
            <w:r/>
            <w:r>
              <w:rPr>
                <w:rFonts w:ascii="Times New Roman" w:hAnsi="Times New Roman" w:eastAsia="Times New Roman"/>
                <w:b w:val="0"/>
                <w:sz w:val="20"/>
              </w:rPr>
              <w:t>Cross-reference module — bidirectional notes linking Document No. / volume / page / supplement part</w:t>
            </w:r>
          </w:p>
        </w:tc>
      </w:tr>
      <w:tr>
        <w:tc>
          <w:tcPr>
            <w:tcW w:type="dxa" w:w="3120"/>
          </w:tcPr>
          <w:p>
            <w:r/>
            <w:r>
              <w:rPr>
                <w:rFonts w:ascii="Times New Roman" w:hAnsi="Times New Roman" w:eastAsia="Times New Roman"/>
                <w:b w:val="0"/>
                <w:sz w:val="20"/>
              </w:rPr>
              <w:t>Rule 123(ii)</w:t>
            </w:r>
          </w:p>
        </w:tc>
        <w:tc>
          <w:tcPr>
            <w:tcW w:type="dxa" w:w="3120"/>
          </w:tcPr>
          <w:p>
            <w:r/>
            <w:r>
              <w:rPr>
                <w:rFonts w:ascii="Times New Roman" w:hAnsi="Times New Roman" w:eastAsia="Times New Roman"/>
                <w:b w:val="0"/>
                <w:sz w:val="20"/>
              </w:rPr>
              <w:t>If immovable property is affected — corresponding note in Index No. II; if an index item is rectified — note in Index I/II/III/IV against that item</w:t>
            </w:r>
          </w:p>
        </w:tc>
        <w:tc>
          <w:tcPr>
            <w:tcW w:type="dxa" w:w="3120"/>
          </w:tcPr>
          <w:p>
            <w:r/>
            <w:r>
              <w:rPr>
                <w:rFonts w:ascii="Times New Roman" w:hAnsi="Times New Roman" w:eastAsia="Times New Roman"/>
                <w:b w:val="0"/>
                <w:sz w:val="20"/>
              </w:rPr>
              <w:t>Index cross-reference and index-item rectification notes</w:t>
            </w:r>
          </w:p>
        </w:tc>
      </w:tr>
      <w:tr>
        <w:tc>
          <w:tcPr>
            <w:tcW w:type="dxa" w:w="3120"/>
          </w:tcPr>
          <w:p>
            <w:r/>
            <w:r>
              <w:rPr>
                <w:rFonts w:ascii="Times New Roman" w:hAnsi="Times New Roman" w:eastAsia="Times New Roman"/>
                <w:b w:val="0"/>
                <w:sz w:val="20"/>
              </w:rPr>
              <w:t>Rule 124 (related)</w:t>
            </w:r>
          </w:p>
        </w:tc>
        <w:tc>
          <w:tcPr>
            <w:tcW w:type="dxa" w:w="3120"/>
          </w:tcPr>
          <w:p>
            <w:r/>
            <w:r>
              <w:rPr>
                <w:rFonts w:ascii="Times New Roman" w:hAnsi="Times New Roman" w:eastAsia="Times New Roman"/>
                <w:b w:val="0"/>
                <w:sz w:val="20"/>
              </w:rPr>
              <w:t>Note when Court declares registered document a forgery / false personation</w:t>
            </w:r>
          </w:p>
        </w:tc>
        <w:tc>
          <w:tcPr>
            <w:tcW w:type="dxa" w:w="3120"/>
          </w:tcPr>
          <w:p>
            <w:r/>
            <w:r>
              <w:rPr>
                <w:rFonts w:ascii="Times New Roman" w:hAnsi="Times New Roman" w:eastAsia="Times New Roman"/>
                <w:b w:val="0"/>
                <w:sz w:val="20"/>
              </w:rPr>
              <w:t>Related foot-note path (not the primary Rule 123 revoke/modify track)</w:t>
            </w:r>
          </w:p>
        </w:tc>
      </w:tr>
      <w:tr>
        <w:tc>
          <w:tcPr>
            <w:tcW w:type="dxa" w:w="3120"/>
          </w:tcPr>
          <w:p>
            <w:r/>
            <w:r>
              <w:rPr>
                <w:rFonts w:ascii="Times New Roman" w:hAnsi="Times New Roman" w:eastAsia="Times New Roman"/>
                <w:b w:val="0"/>
                <w:sz w:val="20"/>
              </w:rPr>
              <w:t>Rule 17 (related filing)</w:t>
            </w:r>
          </w:p>
        </w:tc>
        <w:tc>
          <w:tcPr>
            <w:tcW w:type="dxa" w:w="3120"/>
          </w:tcPr>
          <w:p>
            <w:r/>
            <w:r>
              <w:rPr>
                <w:rFonts w:ascii="Times New Roman" w:hAnsi="Times New Roman" w:eastAsia="Times New Roman"/>
                <w:b w:val="0"/>
                <w:sz w:val="20"/>
              </w:rPr>
              <w:t>Supplement parts that Rule 123 may point to (filed returns / documents)</w:t>
            </w:r>
          </w:p>
        </w:tc>
        <w:tc>
          <w:tcPr>
            <w:tcW w:type="dxa" w:w="3120"/>
          </w:tcPr>
          <w:p>
            <w:r/>
            <w:r>
              <w:rPr>
                <w:rFonts w:ascii="Times New Roman" w:hAnsi="Times New Roman" w:eastAsia="Times New Roman"/>
                <w:b w:val="0"/>
                <w:sz w:val="20"/>
              </w:rPr>
              <w:t>Cross-link targets include Rule 17 filed papers and Sec. 89 returns</w:t>
            </w:r>
          </w:p>
        </w:tc>
      </w:tr>
    </w:tbl>
    <w:p/>
    <w:p>
      <w:r>
        <w:rPr>
          <w:rFonts w:ascii="Segoe UI" w:hAnsi="Segoe UI" w:eastAsia="Segoe UI"/>
          <w:b/>
          <w:sz w:val="29"/>
        </w:rPr>
        <w:t>4. Notifications / amendments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Instrument</w:t>
            </w:r>
          </w:p>
        </w:tc>
        <w:tc>
          <w:tcPr>
            <w:tcW w:type="dxa" w:w="3120"/>
            <w:shd w:val="clear" w:color="auto" w:fill="D9E2F3"/>
          </w:tcPr>
          <w:p>
            <w:r>
              <w:rPr>
                <w:b/>
              </w:rPr>
            </w:r>
            <w:r>
              <w:rPr>
                <w:rFonts w:ascii="Times New Roman" w:hAnsi="Times New Roman" w:eastAsia="Times New Roman"/>
                <w:b/>
                <w:sz w:val="24"/>
              </w:rPr>
              <w:t>Effect</w:t>
            </w:r>
          </w:p>
        </w:tc>
        <w:tc>
          <w:tcPr>
            <w:tcW w:type="dxa" w:w="3120"/>
            <w:shd w:val="clear" w:color="auto" w:fill="D9E2F3"/>
          </w:tcPr>
          <w:p>
            <w:r>
              <w:rPr>
                <w:b/>
              </w:rPr>
            </w:r>
            <w:r>
              <w:rPr>
                <w:rFonts w:ascii="Times New Roman" w:hAnsi="Times New Roman" w:eastAsia="Times New Roman"/>
                <w:b/>
                <w:sz w:val="24"/>
              </w:rPr>
              <w:t>Topics</w:t>
            </w:r>
          </w:p>
        </w:tc>
      </w:tr>
      <w:tr>
        <w:tc>
          <w:tcPr>
            <w:tcW w:type="dxa" w:w="3120"/>
          </w:tcPr>
          <w:p>
            <w:r/>
            <w:r>
              <w:rPr>
                <w:rFonts w:ascii="Times New Roman" w:hAnsi="Times New Roman" w:eastAsia="Times New Roman"/>
                <w:b w:val="0"/>
                <w:sz w:val="20"/>
              </w:rPr>
              <w:t>The Karnataka Registration Rules, 1965 (under Registration Act Sec. 69)</w:t>
            </w:r>
          </w:p>
        </w:tc>
        <w:tc>
          <w:tcPr>
            <w:tcW w:type="dxa" w:w="3120"/>
          </w:tcPr>
          <w:p>
            <w:r/>
            <w:r>
              <w:rPr>
                <w:rFonts w:ascii="Times New Roman" w:hAnsi="Times New Roman" w:eastAsia="Times New Roman"/>
                <w:b w:val="0"/>
                <w:sz w:val="20"/>
              </w:rPr>
              <w:t>Parent rules for Errors in Registration (Ch. XXIII) and Rule 123 cancellation / rectification / modification notes</w:t>
            </w:r>
          </w:p>
        </w:tc>
        <w:tc>
          <w:tcPr>
            <w:tcW w:type="dxa" w:w="3120"/>
          </w:tcPr>
          <w:p>
            <w:r/>
            <w:r>
              <w:rPr>
                <w:rFonts w:ascii="Times New Roman" w:hAnsi="Times New Roman" w:eastAsia="Times New Roman"/>
                <w:b w:val="0"/>
                <w:sz w:val="20"/>
              </w:rPr>
              <w:t>Both topics</w:t>
            </w:r>
          </w:p>
        </w:tc>
      </w:tr>
      <w:tr>
        <w:tc>
          <w:tcPr>
            <w:tcW w:type="dxa" w:w="3120"/>
          </w:tcPr>
          <w:p>
            <w:r/>
            <w:r>
              <w:rPr>
                <w:rFonts w:ascii="Times New Roman" w:hAnsi="Times New Roman" w:eastAsia="Times New Roman"/>
                <w:b w:val="0"/>
                <w:sz w:val="20"/>
              </w:rPr>
              <w:t>RD 403 ESR 85 / RD/46/MNMU/2025 (Table of Fees under Sec. 78)</w:t>
            </w:r>
          </w:p>
        </w:tc>
        <w:tc>
          <w:tcPr>
            <w:tcW w:type="dxa" w:w="3120"/>
          </w:tcPr>
          <w:p>
            <w:r/>
            <w:r>
              <w:rPr>
                <w:rFonts w:ascii="Times New Roman" w:hAnsi="Times New Roman" w:eastAsia="Times New Roman"/>
                <w:b w:val="0"/>
                <w:sz w:val="20"/>
              </w:rPr>
              <w:t>Fresh registration under Rule 169 after Sec. 68 direction is without levy of fee; other correction / note actions as per fee table practice</w:t>
            </w:r>
          </w:p>
        </w:tc>
        <w:tc>
          <w:tcPr>
            <w:tcW w:type="dxa" w:w="3120"/>
          </w:tcPr>
          <w:p>
            <w:r/>
            <w:r>
              <w:rPr>
                <w:rFonts w:ascii="Times New Roman" w:hAnsi="Times New Roman" w:eastAsia="Times New Roman"/>
                <w:b w:val="0"/>
                <w:sz w:val="20"/>
              </w:rPr>
              <w:t>68(2) correction — fee exception</w:t>
            </w:r>
          </w:p>
        </w:tc>
      </w:tr>
      <w:tr>
        <w:tc>
          <w:tcPr>
            <w:tcW w:type="dxa" w:w="3120"/>
          </w:tcPr>
          <w:p>
            <w:r/>
            <w:r>
              <w:rPr>
                <w:rFonts w:ascii="Times New Roman" w:hAnsi="Times New Roman" w:eastAsia="Times New Roman"/>
                <w:b w:val="0"/>
                <w:sz w:val="20"/>
              </w:rPr>
              <w:t>ServiceDesk / Kaveri 2.0 68(2) correction module practice</w:t>
            </w:r>
          </w:p>
        </w:tc>
        <w:tc>
          <w:tcPr>
            <w:tcW w:type="dxa" w:w="3120"/>
          </w:tcPr>
          <w:p>
            <w:r/>
            <w:r>
              <w:rPr>
                <w:rFonts w:ascii="Times New Roman" w:hAnsi="Times New Roman" w:eastAsia="Times New Roman"/>
                <w:b w:val="0"/>
                <w:sz w:val="20"/>
              </w:rPr>
              <w:t>Operational 68(2) correction, re-scan, index correction and verify steps used in current system — to be re-engineered under Kaveri 3.0</w:t>
            </w:r>
          </w:p>
        </w:tc>
        <w:tc>
          <w:tcPr>
            <w:tcW w:type="dxa" w:w="3120"/>
          </w:tcPr>
          <w:p>
            <w:r/>
            <w:r>
              <w:rPr>
                <w:rFonts w:ascii="Times New Roman" w:hAnsi="Times New Roman" w:eastAsia="Times New Roman"/>
                <w:b w:val="0"/>
                <w:sz w:val="20"/>
              </w:rPr>
              <w:t>68(2) correction — as-is pain points</w:t>
            </w:r>
          </w:p>
        </w:tc>
      </w:tr>
    </w:tbl>
    <w:p/>
    <w:p>
      <w:r>
        <w:rPr>
          <w:rFonts w:ascii="Segoe UI" w:hAnsi="Segoe UI" w:eastAsia="Segoe UI"/>
          <w:b/>
          <w:sz w:val="29"/>
        </w:rPr>
        <w:t>5. Pain Points</w:t>
      </w:r>
    </w:p>
    <w:p>
      <w:r>
        <w:rPr>
          <w:rFonts w:ascii="Segoe UI" w:hAnsi="Segoe UI" w:eastAsia="Segoe UI"/>
          <w:b/>
          <w:sz w:val="27"/>
        </w:rPr>
        <w:t xml:space="preserve">Source: </w:t>
      </w:r>
      <w:r>
        <w:rPr>
          <w:rFonts w:ascii="Segoe UI" w:hAnsi="Segoe UI" w:eastAsia="Segoe UI"/>
          <w:b w:val="0"/>
          <w:sz w:val="27"/>
        </w:rPr>
        <w:t>ServiceDeskIssuesList.xlsx (OverallList) — tickets naming 68(2) / 68 correction.</w:t>
      </w:r>
    </w:p>
    <w:p>
      <w:pPr>
        <w:pStyle w:val="ListBullet"/>
      </w:pPr>
      <w:r>
        <w:rPr>
          <w:rFonts w:ascii="Segoe UI" w:hAnsi="Segoe UI" w:eastAsia="Segoe UI"/>
          <w:b/>
          <w:sz w:val="21"/>
        </w:rPr>
        <w:t xml:space="preserve">8788: </w:t>
      </w:r>
      <w:r>
        <w:rPr>
          <w:rFonts w:ascii="Segoe UI" w:hAnsi="Segoe UI" w:eastAsia="Segoe UI"/>
          <w:b w:val="0"/>
          <w:sz w:val="21"/>
        </w:rPr>
        <w:t>68(2) note Re-scanning issue</w:t>
      </w:r>
    </w:p>
    <w:p>
      <w:pPr>
        <w:pStyle w:val="ListBullet"/>
      </w:pPr>
      <w:r>
        <w:rPr>
          <w:rFonts w:ascii="Segoe UI" w:hAnsi="Segoe UI" w:eastAsia="Segoe UI"/>
          <w:b/>
          <w:sz w:val="21"/>
        </w:rPr>
        <w:t xml:space="preserve">15135: </w:t>
      </w:r>
      <w:r>
        <w:rPr>
          <w:rFonts w:ascii="Segoe UI" w:hAnsi="Segoe UI" w:eastAsia="Segoe UI"/>
          <w:b w:val="0"/>
          <w:sz w:val="21"/>
        </w:rPr>
        <w:t>68(2) correction module Hobli name not working</w:t>
      </w:r>
    </w:p>
    <w:p>
      <w:pPr>
        <w:pStyle w:val="ListBullet"/>
      </w:pPr>
      <w:r>
        <w:rPr>
          <w:rFonts w:ascii="Segoe UI" w:hAnsi="Segoe UI" w:eastAsia="Segoe UI"/>
          <w:b/>
          <w:sz w:val="21"/>
        </w:rPr>
        <w:t xml:space="preserve">18321: </w:t>
      </w:r>
      <w:r>
        <w:rPr>
          <w:rFonts w:ascii="Segoe UI" w:hAnsi="Segoe UI" w:eastAsia="Segoe UI"/>
          <w:b w:val="0"/>
          <w:sz w:val="21"/>
        </w:rPr>
        <w:t>68(2) Verification issue</w:t>
      </w:r>
    </w:p>
    <w:p>
      <w:pPr>
        <w:pStyle w:val="ListBullet"/>
      </w:pPr>
      <w:r>
        <w:rPr>
          <w:rFonts w:ascii="Segoe UI" w:hAnsi="Segoe UI" w:eastAsia="Segoe UI"/>
          <w:b/>
          <w:sz w:val="21"/>
        </w:rPr>
        <w:t xml:space="preserve">19748: </w:t>
      </w:r>
      <w:r>
        <w:rPr>
          <w:rFonts w:ascii="Segoe UI" w:hAnsi="Segoe UI" w:eastAsia="Segoe UI"/>
          <w:b w:val="0"/>
          <w:sz w:val="21"/>
        </w:rPr>
        <w:t>68 correction not able to verify document</w:t>
      </w:r>
    </w:p>
    <w:p>
      <w:pPr>
        <w:pStyle w:val="ListBullet"/>
      </w:pPr>
      <w:r>
        <w:rPr>
          <w:rFonts w:ascii="Segoe UI" w:hAnsi="Segoe UI" w:eastAsia="Segoe UI"/>
          <w:b/>
          <w:sz w:val="21"/>
        </w:rPr>
        <w:t xml:space="preserve">20158: </w:t>
      </w:r>
      <w:r>
        <w:rPr>
          <w:rFonts w:ascii="Segoe UI" w:hAnsi="Segoe UI" w:eastAsia="Segoe UI"/>
          <w:b w:val="0"/>
          <w:sz w:val="21"/>
        </w:rPr>
        <w:t>68(2) Rescan completed but not reflecting in KOS while applying for CC</w:t>
      </w:r>
    </w:p>
    <w:p>
      <w:pPr>
        <w:pStyle w:val="ListBullet"/>
      </w:pPr>
      <w:r>
        <w:rPr>
          <w:rFonts w:ascii="Segoe UI" w:hAnsi="Segoe UI" w:eastAsia="Segoe UI"/>
          <w:b/>
          <w:sz w:val="21"/>
        </w:rPr>
        <w:t xml:space="preserve">20763 / 20772: </w:t>
      </w:r>
      <w:r>
        <w:rPr>
          <w:rFonts w:ascii="Segoe UI" w:hAnsi="Segoe UI" w:eastAsia="Segoe UI"/>
          <w:b w:val="0"/>
          <w:sz w:val="21"/>
        </w:rPr>
        <w:t>68(2) correction module issue / MODULE error</w:t>
      </w:r>
    </w:p>
    <w:p>
      <w:pPr>
        <w:pStyle w:val="ListBullet"/>
      </w:pPr>
      <w:r>
        <w:rPr>
          <w:rFonts w:ascii="Segoe UI" w:hAnsi="Segoe UI" w:eastAsia="Segoe UI"/>
          <w:b/>
          <w:sz w:val="21"/>
        </w:rPr>
        <w:t xml:space="preserve">21319 / 27261 / 28486: </w:t>
      </w:r>
      <w:r>
        <w:rPr>
          <w:rFonts w:ascii="Segoe UI" w:hAnsi="Segoe UI" w:eastAsia="Segoe UI"/>
          <w:b w:val="0"/>
          <w:sz w:val="21"/>
        </w:rPr>
        <w:t>68 correction error / unable to update / section correction issue</w:t>
      </w:r>
    </w:p>
    <w:p>
      <w:pPr>
        <w:pStyle w:val="ListBullet"/>
      </w:pPr>
      <w:r>
        <w:rPr>
          <w:rFonts w:ascii="Segoe UI" w:hAnsi="Segoe UI" w:eastAsia="Segoe UI"/>
          <w:b/>
          <w:sz w:val="21"/>
        </w:rPr>
        <w:t xml:space="preserve">29418: </w:t>
      </w:r>
      <w:r>
        <w:rPr>
          <w:rFonts w:ascii="Segoe UI" w:hAnsi="Segoe UI" w:eastAsia="Segoe UI"/>
          <w:b w:val="0"/>
          <w:sz w:val="21"/>
        </w:rPr>
        <w:t>68(2) Index Correction</w:t>
      </w:r>
    </w:p>
    <w:p>
      <w:pPr>
        <w:pStyle w:val="ListBullet"/>
      </w:pPr>
      <w:r>
        <w:rPr>
          <w:rFonts w:ascii="Segoe UI" w:hAnsi="Segoe UI" w:eastAsia="Segoe UI"/>
          <w:b/>
          <w:sz w:val="21"/>
        </w:rPr>
        <w:t xml:space="preserve">29586 / 31576: </w:t>
      </w:r>
      <w:r>
        <w:rPr>
          <w:rFonts w:ascii="Segoe UI" w:hAnsi="Segoe UI" w:eastAsia="Segoe UI"/>
          <w:b w:val="0"/>
          <w:sz w:val="21"/>
        </w:rPr>
        <w:t>68(2) correction Issue (e.g. SRO Nelamangala) / 68(2) correction</w:t>
      </w:r>
    </w:p>
    <w:p/>
    <w:p>
      <w:r>
        <w:rPr>
          <w:rFonts w:ascii="Segoe UI" w:hAnsi="Segoe UI" w:eastAsia="Segoe UI"/>
          <w:b/>
          <w:sz w:val="29"/>
        </w:rPr>
        <w:t>6. User Stories</w:t>
      </w:r>
    </w:p>
    <w:p>
      <w:r>
        <w:rPr>
          <w:rFonts w:ascii="Segoe UI" w:hAnsi="Segoe UI" w:eastAsia="Segoe UI"/>
          <w:b w:val="0"/>
          <w:sz w:val="22"/>
        </w:rPr>
        <w:t>Derived from Schedule Sr.18 Acts, sections and Rules (68(2) correction — modules #14; Cross-reference Rule 123 — modules #15).</w:t>
      </w:r>
    </w:p>
    <w:p/>
    <w:p>
      <w:r>
        <w:rPr>
          <w:rFonts w:ascii="Segoe UI" w:hAnsi="Segoe UI" w:eastAsia="Segoe UI"/>
          <w:b/>
          <w:sz w:val="27"/>
        </w:rPr>
        <w:t>6.1 Sec. 68(2) correction</w:t>
      </w:r>
    </w:p>
    <w:p>
      <w:r>
        <w:rPr>
          <w:rFonts w:ascii="Segoe UI" w:hAnsi="Segoe UI" w:eastAsia="Segoe UI"/>
          <w:b/>
          <w:sz w:val="22"/>
        </w:rPr>
        <w:t xml:space="preserve">US-682-01. </w:t>
      </w:r>
      <w:r>
        <w:rPr>
          <w:rFonts w:ascii="Segoe UI" w:hAnsi="Segoe UI" w:eastAsia="Segoe UI"/>
          <w:b w:val="0"/>
          <w:sz w:val="22"/>
        </w:rPr>
        <w:t>As a citizen / executant / claimant, I want to complain to the District Registrar under Sec. 68(2) that my document was registered in the wrong book or wrong office (or has a related registration error), so that the Registrar can issue a rectification order consistent with the Act.</w:t>
      </w:r>
    </w:p>
    <w:p>
      <w:r>
        <w:rPr>
          <w:rFonts w:ascii="Segoe UI" w:hAnsi="Segoe UI" w:eastAsia="Segoe UI"/>
          <w:b/>
          <w:sz w:val="22"/>
        </w:rPr>
        <w:t xml:space="preserve">US-682-02. </w:t>
      </w:r>
      <w:r>
        <w:rPr>
          <w:rFonts w:ascii="Segoe UI" w:hAnsi="Segoe UI" w:eastAsia="Segoe UI"/>
          <w:b w:val="0"/>
          <w:sz w:val="22"/>
        </w:rPr>
        <w:t>As a District Registrar, I want to issue a Sec. 68(2) order (on complaint or otherwise) directing rectification of the book or office error, and track the case to closure, so that SRO action and status are auditable against the Registrar’s order.</w:t>
      </w:r>
    </w:p>
    <w:p>
      <w:r>
        <w:rPr>
          <w:rFonts w:ascii="Segoe UI" w:hAnsi="Segoe UI" w:eastAsia="Segoe UI"/>
          <w:b/>
          <w:sz w:val="22"/>
        </w:rPr>
        <w:t xml:space="preserve">US-682-03. </w:t>
      </w:r>
      <w:r>
        <w:rPr>
          <w:rFonts w:ascii="Segoe UI" w:hAnsi="Segoe UI" w:eastAsia="Segoe UI"/>
          <w:b w:val="0"/>
          <w:sz w:val="22"/>
        </w:rPr>
        <w:t>As a Sub-Registrar, I want to after DR sanction under Rule 167, re-copy a wrong-book entry into the proper book with red-ink footnotes both ways and create proper index entries with cross-references (without cancelling the original serial), so that both books and indexes remain consistent and searchable.</w:t>
      </w:r>
    </w:p>
    <w:p>
      <w:r>
        <w:rPr>
          <w:rFonts w:ascii="Segoe UI" w:hAnsi="Segoe UI" w:eastAsia="Segoe UI"/>
          <w:b/>
          <w:sz w:val="22"/>
        </w:rPr>
        <w:t xml:space="preserve">US-682-04. </w:t>
      </w:r>
      <w:r>
        <w:rPr>
          <w:rFonts w:ascii="Segoe UI" w:hAnsi="Segoe UI" w:eastAsia="Segoe UI"/>
          <w:b w:val="0"/>
          <w:sz w:val="22"/>
        </w:rPr>
        <w:t>As a Sub-Registrar / citizen, I want to complete wrong-office correction under Rule 169 — advise parties, receive Sec. 68 direction, re-register without fee with endorsement citing the order, and forward free memo/copy to the proper office, so that the document is correctly recorded in the proper office without double fee.</w:t>
      </w:r>
    </w:p>
    <w:p>
      <w:r>
        <w:rPr>
          <w:rFonts w:ascii="Segoe UI" w:hAnsi="Segoe UI" w:eastAsia="Segoe UI"/>
          <w:b/>
          <w:sz w:val="22"/>
        </w:rPr>
        <w:t xml:space="preserve">US-682-05. </w:t>
      </w:r>
      <w:r>
        <w:rPr>
          <w:rFonts w:ascii="Segoe UI" w:hAnsi="Segoe UI" w:eastAsia="Segoe UI"/>
          <w:b w:val="0"/>
          <w:sz w:val="22"/>
        </w:rPr>
        <w:t>As a Sub-Registrar / DEO, I want to send an erratum for a memorandum/copy under Rule 165 / 168, file it in Supplement Book 1 Part I, correct indexes with cross-references, and re-scan / verify corrected pages where the module requires it, so that cross-office copies and citizen CC/EC views show the corrected record.</w:t>
      </w:r>
    </w:p>
    <w:p/>
    <w:p>
      <w:r>
        <w:rPr>
          <w:rFonts w:ascii="Segoe UI" w:hAnsi="Segoe UI" w:eastAsia="Segoe UI"/>
          <w:b/>
          <w:sz w:val="27"/>
        </w:rPr>
        <w:t>6.2 Cross-reference Rule 123</w:t>
      </w:r>
    </w:p>
    <w:p>
      <w:r>
        <w:rPr>
          <w:rFonts w:ascii="Segoe UI" w:hAnsi="Segoe UI" w:eastAsia="Segoe UI"/>
          <w:b/>
          <w:sz w:val="22"/>
        </w:rPr>
        <w:t xml:space="preserve">US-123-01. </w:t>
      </w:r>
      <w:r>
        <w:rPr>
          <w:rFonts w:ascii="Segoe UI" w:hAnsi="Segoe UI" w:eastAsia="Segoe UI"/>
          <w:b w:val="0"/>
          <w:sz w:val="22"/>
        </w:rPr>
        <w:t>As a Sub-Registrar / DEO, I want to auto-prompt and save Rule 123(i) mutual footnotes on both entries (Document No., volume, page, supplement part) when registering a deed that revokes, cancels, rectifies or modifies an earlier registered or Rule 17-filed document, so that anyone reading either entry sees the linked revoke/modify relationship.</w:t>
      </w:r>
    </w:p>
    <w:p>
      <w:r>
        <w:rPr>
          <w:rFonts w:ascii="Segoe UI" w:hAnsi="Segoe UI" w:eastAsia="Segoe UI"/>
          <w:b/>
          <w:sz w:val="22"/>
        </w:rPr>
        <w:t xml:space="preserve">US-123-02. </w:t>
      </w:r>
      <w:r>
        <w:rPr>
          <w:rFonts w:ascii="Segoe UI" w:hAnsi="Segoe UI" w:eastAsia="Segoe UI"/>
          <w:b w:val="0"/>
          <w:sz w:val="22"/>
        </w:rPr>
        <w:t>As a Sub-Registrar / DEO, I want to on receipt of a Revenue Officer or Court communication that similarly revokes / cancels / rectifies / modifies a filed or registered paper, file the communication and apply the same Rule 123 cross-notes, so that institutional modifications are visible from both the old and new records.</w:t>
      </w:r>
    </w:p>
    <w:p>
      <w:r>
        <w:rPr>
          <w:rFonts w:ascii="Segoe UI" w:hAnsi="Segoe UI" w:eastAsia="Segoe UI"/>
          <w:b/>
          <w:sz w:val="22"/>
        </w:rPr>
        <w:t xml:space="preserve">US-123-03. </w:t>
      </w:r>
      <w:r>
        <w:rPr>
          <w:rFonts w:ascii="Segoe UI" w:hAnsi="Segoe UI" w:eastAsia="Segoe UI"/>
          <w:b w:val="0"/>
          <w:sz w:val="22"/>
        </w:rPr>
        <w:t>As a Sub-Registrar / DEO, I want to for immovable-property cases, write the corresponding Index No. II note, and when an index item is rectified write the note in Index I/II/III/IV under Rule 123(ii), so that property and name indexes stay aligned with the register footnotes.</w:t>
      </w:r>
    </w:p>
    <w:p>
      <w:r>
        <w:rPr>
          <w:rFonts w:ascii="Segoe UI" w:hAnsi="Segoe UI" w:eastAsia="Segoe UI"/>
          <w:b/>
          <w:sz w:val="22"/>
        </w:rPr>
        <w:t xml:space="preserve">US-123-04. </w:t>
      </w:r>
      <w:r>
        <w:rPr>
          <w:rFonts w:ascii="Segoe UI" w:hAnsi="Segoe UI" w:eastAsia="Segoe UI"/>
          <w:b w:val="0"/>
          <w:sz w:val="22"/>
        </w:rPr>
        <w:t>As a citizen / search user, I want to see Rule 123 cross-references when I search, take EC, or view a certified copy of either the original or the later modifying document, so that I am not misled by an obsolete register entry that was later modified.</w:t>
      </w:r>
    </w:p>
    <w:p/>
    <w:p>
      <w:r>
        <w:rPr>
          <w:rFonts w:ascii="Segoe UI" w:hAnsi="Segoe UI" w:eastAsia="Segoe UI"/>
          <w:b/>
          <w:sz w:val="27"/>
        </w:rPr>
        <w:t xml:space="preserve">Note: </w:t>
      </w:r>
      <w:r>
        <w:rPr>
          <w:rFonts w:ascii="Segoe UI" w:hAnsi="Segoe UI" w:eastAsia="Segoe UI"/>
          <w:b w:val="0"/>
          <w:sz w:val="27"/>
        </w:rPr>
        <w:t>Schedule mapping — Sec. 68(2) correction = modules list #14; Cross-reference Rule 123 = modules list #15 (both under Sr.18). Rule 123 is about mutual footnotes / index notes when a later instrument or communication affects an earlier entry — distinct from Sec. 68(2) rectification of wrong book/office. Pre-registration “send back for correction” in the SR approval workflow (discussed on 28-08) is a separate intake path and is not expanded here. Sec. 22-B/22-C forged/prohibited cancellation (Kar. Amd. 2023) is a parallel track under Sr.12/appeal discussions, not the Rule 123 revoke/modify note.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