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sz w:val="24"/>
              </w:rPr>
              <w:t>Date</w:t>
            </w:r>
          </w:p>
        </w:tc>
        <w:tc>
          <w:tcPr>
            <w:tcW w:type="dxa" w:w="4680"/>
          </w:tcPr>
          <w:p>
            <w:r/>
            <w:r>
              <w:rPr>
                <w:rFonts w:ascii="Times New Roman" w:hAnsi="Times New Roman" w:eastAsia="Times New Roman"/>
                <w:b w:val="0"/>
                <w:sz w:val="24"/>
              </w:rPr>
              <w:t>09-09-2026 to 10-09-2026</w:t>
            </w:r>
          </w:p>
        </w:tc>
      </w:tr>
      <w:tr>
        <w:tc>
          <w:tcPr>
            <w:tcW w:type="dxa" w:w="4680"/>
          </w:tcPr>
          <w:p>
            <w:r/>
            <w:r>
              <w:rPr>
                <w:rFonts w:ascii="Times New Roman" w:hAnsi="Times New Roman" w:eastAsia="Times New Roman"/>
                <w:b/>
                <w:sz w:val="24"/>
              </w:rPr>
              <w:t>Topics</w:t>
            </w:r>
          </w:p>
        </w:tc>
        <w:tc>
          <w:tcPr>
            <w:tcW w:type="dxa" w:w="4680"/>
          </w:tcPr>
          <w:p>
            <w:r/>
            <w:r>
              <w:rPr>
                <w:rFonts w:ascii="Times New Roman" w:hAnsi="Times New Roman" w:eastAsia="Times New Roman"/>
                <w:b w:val="0"/>
                <w:sz w:val="24"/>
              </w:rPr>
              <w:t>Integration module; Integration exemption; Court entry; Liability (Liabality) — Schedule Sr.19; modules #3, #16, #17, #18</w:t>
            </w:r>
          </w:p>
        </w:tc>
      </w:tr>
      <w:tr>
        <w:tc>
          <w:tcPr>
            <w:tcW w:type="dxa" w:w="4680"/>
          </w:tcPr>
          <w:p>
            <w:r/>
            <w:r>
              <w:rPr>
                <w:rFonts w:ascii="Times New Roman" w:hAnsi="Times New Roman" w:eastAsia="Times New Roman"/>
                <w:b/>
                <w:sz w:val="24"/>
              </w:rPr>
              <w:t>Attendees</w:t>
            </w:r>
          </w:p>
        </w:tc>
        <w:tc>
          <w:tcPr>
            <w:tcW w:type="dxa" w:w="4680"/>
          </w:tcPr>
          <w:p>
            <w:r/>
            <w:r>
              <w:rPr>
                <w:rFonts w:ascii="Times New Roman" w:hAnsi="Times New Roman" w:eastAsia="Times New Roman"/>
                <w:b w:val="0"/>
                <w:sz w:val="24"/>
              </w:rPr>
              <w:t>Kaveri IT Cell, AIGR Computers team, Domain Expert and committee members</w:t>
            </w:r>
          </w:p>
        </w:tc>
      </w:tr>
      <w:tr>
        <w:tc>
          <w:tcPr>
            <w:tcW w:type="dxa" w:w="4680"/>
          </w:tcPr>
          <w:p>
            <w:r/>
            <w:r>
              <w:rPr>
                <w:rFonts w:ascii="Times New Roman" w:hAnsi="Times New Roman" w:eastAsia="Times New Roman"/>
                <w:b/>
                <w:sz w:val="24"/>
              </w:rPr>
              <w:t>Version</w:t>
            </w:r>
          </w:p>
        </w:tc>
        <w:tc>
          <w:tcPr>
            <w:tcW w:type="dxa" w:w="4680"/>
          </w:tcPr>
          <w:p>
            <w:r/>
            <w:r>
              <w:rPr>
                <w:rFonts w:ascii="Times New Roman" w:hAnsi="Times New Roman" w:eastAsia="Times New Roman"/>
                <w:b w:val="0"/>
                <w:sz w:val="24"/>
              </w:rPr>
              <w:t>1.1 (15-09-2026) — Acts, sections, Rules, notifications, pain points and user stories for Integration, Integration exemption, Court entry and Liability</w:t>
            </w:r>
          </w:p>
        </w:tc>
      </w:tr>
    </w:tbl>
    <w:p/>
    <w:p>
      <w:r>
        <w:rPr>
          <w:rFonts w:ascii="Segoe UI" w:hAnsi="Segoe UI" w:eastAsia="Segoe UI"/>
          <w:b/>
          <w:sz w:val="27"/>
        </w:rPr>
        <w:t xml:space="preserve">Scope: </w:t>
      </w:r>
      <w:r>
        <w:rPr>
          <w:rFonts w:ascii="Segoe UI" w:hAnsi="Segoe UI" w:eastAsia="Segoe UI"/>
          <w:b w:val="0"/>
          <w:sz w:val="27"/>
        </w:rPr>
        <w:t>Discussion topics dated 09–10 Sep 2026 (Schedule Sr.19) — (1) Integration module — post-registration push to Bhoomi / RDPR / related systems via Integration Report; (2) Integration exemption — deed / Sec. 90 / stamp-exempt classes that skip or specially handle external push; (3) Court entry — Sec. 89 / Rule 17 Court certificates and Court-order capture; (4) Liability — DR liability filing that must appear correctly on EC / property search. Source folder: Acts_Rules/Document/. FRUITS intake (Sr.16) is adjacent but only cross-referenced where Court / institutional filing overlaps Rule 17.</w:t>
      </w:r>
    </w:p>
    <w:p/>
    <w:p>
      <w:r>
        <w:rPr>
          <w:rFonts w:ascii="Segoe UI" w:hAnsi="Segoe UI" w:eastAsia="Segoe UI"/>
          <w:b/>
          <w:sz w:val="29"/>
        </w:rPr>
        <w:t>1. Primary Acts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Act / instrument</w:t>
            </w:r>
          </w:p>
        </w:tc>
        <w:tc>
          <w:tcPr>
            <w:tcW w:type="dxa" w:w="3120"/>
            <w:shd w:val="clear" w:color="auto" w:fill="D9E2F3"/>
          </w:tcPr>
          <w:p>
            <w:r>
              <w:rPr>
                <w:b/>
              </w:rPr>
            </w:r>
            <w:r>
              <w:rPr>
                <w:rFonts w:ascii="Times New Roman" w:hAnsi="Times New Roman" w:eastAsia="Times New Roman"/>
                <w:b/>
                <w:sz w:val="24"/>
              </w:rPr>
              <w:t>Role</w:t>
            </w:r>
          </w:p>
        </w:tc>
        <w:tc>
          <w:tcPr>
            <w:tcW w:type="dxa" w:w="3120"/>
            <w:shd w:val="clear" w:color="auto" w:fill="D9E2F3"/>
          </w:tcPr>
          <w:p>
            <w:r>
              <w:rPr>
                <w:b/>
              </w:rPr>
            </w:r>
            <w:r>
              <w:rPr>
                <w:rFonts w:ascii="Times New Roman" w:hAnsi="Times New Roman" w:eastAsia="Times New Roman"/>
                <w:b/>
                <w:sz w:val="24"/>
              </w:rPr>
              <w:t>Relevance to topics</w:t>
            </w:r>
          </w:p>
        </w:tc>
      </w:tr>
      <w:tr>
        <w:tc>
          <w:tcPr>
            <w:tcW w:type="dxa" w:w="3120"/>
          </w:tcPr>
          <w:p>
            <w:r/>
            <w:r>
              <w:rPr>
                <w:rFonts w:ascii="Times New Roman" w:hAnsi="Times New Roman" w:eastAsia="Times New Roman"/>
                <w:b w:val="0"/>
                <w:sz w:val="20"/>
              </w:rPr>
              <w:t>The Registration Act, 1908 (Central Act 16 of 1908)</w:t>
            </w:r>
          </w:p>
        </w:tc>
        <w:tc>
          <w:tcPr>
            <w:tcW w:type="dxa" w:w="3120"/>
          </w:tcPr>
          <w:p>
            <w:r/>
            <w:r>
              <w:rPr>
                <w:rFonts w:ascii="Times New Roman" w:hAnsi="Times New Roman" w:eastAsia="Times New Roman"/>
                <w:b w:val="0"/>
                <w:sz w:val="20"/>
              </w:rPr>
              <w:t>Primary — Court entry; Integration context; Liability visibility</w:t>
            </w:r>
          </w:p>
        </w:tc>
        <w:tc>
          <w:tcPr>
            <w:tcW w:type="dxa" w:w="3120"/>
          </w:tcPr>
          <w:p>
            <w:r/>
            <w:r>
              <w:rPr>
                <w:rFonts w:ascii="Times New Roman" w:hAnsi="Times New Roman" w:eastAsia="Times New Roman"/>
                <w:b w:val="0"/>
                <w:sz w:val="20"/>
              </w:rPr>
              <w:t>Sec. 89 — Court / revenue / loan certificates and instruments to be sent and filed in Book 1 (Court entry + institutional intake); Secs. 64–67 — cross-office memoranda/copies (pattern for outbound integration payloads); Secs. 17 / 18 — decrees &amp; orders of Court; Sec. 90–91 — exemption of certain Govt documents from registration (Integration exemption / non-push cases); Sec. 57 &amp; EC practice — liability notes visible on search / EC</w:t>
            </w:r>
          </w:p>
        </w:tc>
      </w:tr>
      <w:tr>
        <w:tc>
          <w:tcPr>
            <w:tcW w:type="dxa" w:w="3120"/>
          </w:tcPr>
          <w:p>
            <w:r/>
            <w:r>
              <w:rPr>
                <w:rFonts w:ascii="Times New Roman" w:hAnsi="Times New Roman" w:eastAsia="Times New Roman"/>
                <w:b w:val="0"/>
                <w:sz w:val="20"/>
              </w:rPr>
              <w:t>The Karnataka Registration Rules, 1965</w:t>
            </w:r>
          </w:p>
        </w:tc>
        <w:tc>
          <w:tcPr>
            <w:tcW w:type="dxa" w:w="3120"/>
          </w:tcPr>
          <w:p>
            <w:r/>
            <w:r>
              <w:rPr>
                <w:rFonts w:ascii="Times New Roman" w:hAnsi="Times New Roman" w:eastAsia="Times New Roman"/>
                <w:b w:val="0"/>
                <w:sz w:val="20"/>
              </w:rPr>
              <w:t>Primary (Rules)</w:t>
            </w:r>
          </w:p>
        </w:tc>
        <w:tc>
          <w:tcPr>
            <w:tcW w:type="dxa" w:w="3120"/>
          </w:tcPr>
          <w:p>
            <w:r/>
            <w:r>
              <w:rPr>
                <w:rFonts w:ascii="Times New Roman" w:hAnsi="Times New Roman" w:eastAsia="Times New Roman"/>
                <w:b w:val="0"/>
                <w:sz w:val="20"/>
              </w:rPr>
              <w:t>Rule 17 — Book 1 supplements incl. Court / Revenue sale certificates and institutional filings (Court entry); Rules 148–154 — Certificate of encumbrance (Liability notes must surface on EC); Rules 184 / 188 — registration ordered by Registrar or Court; Rule 166 — copy of memo / Court decree; Ch. XXVII files of Court orders</w:t>
            </w:r>
          </w:p>
        </w:tc>
      </w:tr>
      <w:tr>
        <w:tc>
          <w:tcPr>
            <w:tcW w:type="dxa" w:w="3120"/>
          </w:tcPr>
          <w:p>
            <w:r/>
            <w:r>
              <w:rPr>
                <w:rFonts w:ascii="Times New Roman" w:hAnsi="Times New Roman" w:eastAsia="Times New Roman"/>
                <w:b w:val="0"/>
                <w:sz w:val="20"/>
              </w:rPr>
              <w:t>The Karnataka Stamp Act, 1957 (+ Schedule)</w:t>
            </w:r>
          </w:p>
        </w:tc>
        <w:tc>
          <w:tcPr>
            <w:tcW w:type="dxa" w:w="3120"/>
          </w:tcPr>
          <w:p>
            <w:r/>
            <w:r>
              <w:rPr>
                <w:rFonts w:ascii="Times New Roman" w:hAnsi="Times New Roman" w:eastAsia="Times New Roman"/>
                <w:b w:val="0"/>
                <w:sz w:val="20"/>
              </w:rPr>
              <w:t>Related — Integration exemption (stamp-exempt instruments)</w:t>
            </w:r>
          </w:p>
        </w:tc>
        <w:tc>
          <w:tcPr>
            <w:tcW w:type="dxa" w:w="3120"/>
          </w:tcPr>
          <w:p>
            <w:r/>
            <w:r>
              <w:rPr>
                <w:rFonts w:ascii="Times New Roman" w:hAnsi="Times New Roman" w:eastAsia="Times New Roman"/>
                <w:b w:val="0"/>
                <w:sz w:val="20"/>
              </w:rPr>
              <w:t>Sec. 3 and Schedule exemptions / remissions — instruments that may be 100% stamp-duty exempt and need clear receipt / challan / integration handling; undervaluation / charge context for property liabilities</w:t>
            </w:r>
          </w:p>
        </w:tc>
      </w:tr>
    </w:tbl>
    <w:p/>
    <w:p>
      <w:r>
        <w:rPr>
          <w:rFonts w:ascii="Segoe UI" w:hAnsi="Segoe UI" w:eastAsia="Segoe UI"/>
          <w:b/>
          <w:sz w:val="29"/>
        </w:rPr>
        <w:t>2. Relevant sections</w:t>
      </w:r>
    </w:p>
    <w:p/>
    <w:p>
      <w:r>
        <w:rPr>
          <w:rFonts w:ascii="Segoe UI" w:hAnsi="Segoe UI" w:eastAsia="Segoe UI"/>
          <w:b/>
          <w:sz w:val="27"/>
        </w:rPr>
        <w:t>2.1 Integration module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Section</w:t>
            </w:r>
          </w:p>
        </w:tc>
        <w:tc>
          <w:tcPr>
            <w:tcW w:type="dxa" w:w="3120"/>
            <w:shd w:val="clear" w:color="auto" w:fill="D9E2F3"/>
          </w:tcPr>
          <w:p>
            <w:r>
              <w:rPr>
                <w:b/>
              </w:rPr>
            </w:r>
            <w:r>
              <w:rPr>
                <w:rFonts w:ascii="Times New Roman" w:hAnsi="Times New Roman" w:eastAsia="Times New Roman"/>
                <w:b/>
                <w:sz w:val="24"/>
              </w:rPr>
              <w:t>Topic</w:t>
            </w:r>
          </w:p>
        </w:tc>
        <w:tc>
          <w:tcPr>
            <w:tcW w:type="dxa" w:w="3120"/>
            <w:shd w:val="clear" w:color="auto" w:fill="D9E2F3"/>
          </w:tcPr>
          <w:p>
            <w:r>
              <w:rPr>
                <w:b/>
              </w:rPr>
            </w:r>
            <w:r>
              <w:rPr>
                <w:rFonts w:ascii="Times New Roman" w:hAnsi="Times New Roman" w:eastAsia="Times New Roman"/>
                <w:b/>
                <w:sz w:val="24"/>
              </w:rPr>
              <w:t>BRD / system relevance</w:t>
            </w:r>
          </w:p>
        </w:tc>
      </w:tr>
      <w:tr>
        <w:tc>
          <w:tcPr>
            <w:tcW w:type="dxa" w:w="3120"/>
          </w:tcPr>
          <w:p>
            <w:r/>
            <w:r>
              <w:rPr>
                <w:rFonts w:ascii="Times New Roman" w:hAnsi="Times New Roman" w:eastAsia="Times New Roman"/>
                <w:b w:val="0"/>
                <w:sz w:val="20"/>
              </w:rPr>
              <w:t>Secs. 64–67</w:t>
            </w:r>
          </w:p>
        </w:tc>
        <w:tc>
          <w:tcPr>
            <w:tcW w:type="dxa" w:w="3120"/>
          </w:tcPr>
          <w:p>
            <w:r/>
            <w:r>
              <w:rPr>
                <w:rFonts w:ascii="Times New Roman" w:hAnsi="Times New Roman" w:eastAsia="Times New Roman"/>
                <w:b w:val="0"/>
                <w:sz w:val="20"/>
              </w:rPr>
              <w:t>Memoranda / copies to other registration offices after registration</w:t>
            </w:r>
          </w:p>
        </w:tc>
        <w:tc>
          <w:tcPr>
            <w:tcW w:type="dxa" w:w="3120"/>
          </w:tcPr>
          <w:p>
            <w:r/>
            <w:r>
              <w:rPr>
                <w:rFonts w:ascii="Times New Roman" w:hAnsi="Times New Roman" w:eastAsia="Times New Roman"/>
                <w:b w:val="0"/>
                <w:sz w:val="20"/>
              </w:rPr>
              <w:t>Statutory outbound transmission pattern — Integration module mirrors this for Bhoomi / RDPR / other land-record systems (J-slip / XML push)</w:t>
            </w:r>
          </w:p>
        </w:tc>
      </w:tr>
      <w:tr>
        <w:tc>
          <w:tcPr>
            <w:tcW w:type="dxa" w:w="3120"/>
          </w:tcPr>
          <w:p>
            <w:r/>
            <w:r>
              <w:rPr>
                <w:rFonts w:ascii="Times New Roman" w:hAnsi="Times New Roman" w:eastAsia="Times New Roman"/>
                <w:b w:val="0"/>
                <w:sz w:val="20"/>
              </w:rPr>
              <w:t>Sec. 60–61</w:t>
            </w:r>
          </w:p>
        </w:tc>
        <w:tc>
          <w:tcPr>
            <w:tcW w:type="dxa" w:w="3120"/>
          </w:tcPr>
          <w:p>
            <w:r/>
            <w:r>
              <w:rPr>
                <w:rFonts w:ascii="Times New Roman" w:hAnsi="Times New Roman" w:eastAsia="Times New Roman"/>
                <w:b w:val="0"/>
                <w:sz w:val="20"/>
              </w:rPr>
              <w:t>Certificate of registration; completion and return of document</w:t>
            </w:r>
          </w:p>
        </w:tc>
        <w:tc>
          <w:tcPr>
            <w:tcW w:type="dxa" w:w="3120"/>
          </w:tcPr>
          <w:p>
            <w:r/>
            <w:r>
              <w:rPr>
                <w:rFonts w:ascii="Times New Roman" w:hAnsi="Times New Roman" w:eastAsia="Times New Roman"/>
                <w:b w:val="0"/>
                <w:sz w:val="20"/>
              </w:rPr>
              <w:t>Integration trigger after registration is complete / digitally signed</w:t>
            </w:r>
          </w:p>
        </w:tc>
      </w:tr>
      <w:tr>
        <w:tc>
          <w:tcPr>
            <w:tcW w:type="dxa" w:w="3120"/>
          </w:tcPr>
          <w:p>
            <w:r/>
            <w:r>
              <w:rPr>
                <w:rFonts w:ascii="Times New Roman" w:hAnsi="Times New Roman" w:eastAsia="Times New Roman"/>
                <w:b w:val="0"/>
                <w:sz w:val="20"/>
              </w:rPr>
              <w:t>Sec. 51 / Indexes</w:t>
            </w:r>
          </w:p>
        </w:tc>
        <w:tc>
          <w:tcPr>
            <w:tcW w:type="dxa" w:w="3120"/>
          </w:tcPr>
          <w:p>
            <w:r/>
            <w:r>
              <w:rPr>
                <w:rFonts w:ascii="Times New Roman" w:hAnsi="Times New Roman" w:eastAsia="Times New Roman"/>
                <w:b w:val="0"/>
                <w:sz w:val="20"/>
              </w:rPr>
              <w:t>Register books and indexes as source of truth for push payloads</w:t>
            </w:r>
          </w:p>
        </w:tc>
        <w:tc>
          <w:tcPr>
            <w:tcW w:type="dxa" w:w="3120"/>
          </w:tcPr>
          <w:p>
            <w:r/>
            <w:r>
              <w:rPr>
                <w:rFonts w:ascii="Times New Roman" w:hAnsi="Times New Roman" w:eastAsia="Times New Roman"/>
                <w:b w:val="0"/>
                <w:sz w:val="20"/>
              </w:rPr>
              <w:t>Survey / party / property data sent via Integration Report must match registered entry</w:t>
            </w:r>
          </w:p>
        </w:tc>
      </w:tr>
    </w:tbl>
    <w:p/>
    <w:p>
      <w:r>
        <w:rPr>
          <w:rFonts w:ascii="Segoe UI" w:hAnsi="Segoe UI" w:eastAsia="Segoe UI"/>
          <w:b/>
          <w:sz w:val="27"/>
        </w:rPr>
        <w:t>2.2 Integration exemption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Section</w:t>
            </w:r>
          </w:p>
        </w:tc>
        <w:tc>
          <w:tcPr>
            <w:tcW w:type="dxa" w:w="3120"/>
            <w:shd w:val="clear" w:color="auto" w:fill="D9E2F3"/>
          </w:tcPr>
          <w:p>
            <w:r>
              <w:rPr>
                <w:b/>
              </w:rPr>
            </w:r>
            <w:r>
              <w:rPr>
                <w:rFonts w:ascii="Times New Roman" w:hAnsi="Times New Roman" w:eastAsia="Times New Roman"/>
                <w:b/>
                <w:sz w:val="24"/>
              </w:rPr>
              <w:t>Topic</w:t>
            </w:r>
          </w:p>
        </w:tc>
        <w:tc>
          <w:tcPr>
            <w:tcW w:type="dxa" w:w="3120"/>
            <w:shd w:val="clear" w:color="auto" w:fill="D9E2F3"/>
          </w:tcPr>
          <w:p>
            <w:r>
              <w:rPr>
                <w:b/>
              </w:rPr>
            </w:r>
            <w:r>
              <w:rPr>
                <w:rFonts w:ascii="Times New Roman" w:hAnsi="Times New Roman" w:eastAsia="Times New Roman"/>
                <w:b/>
                <w:sz w:val="24"/>
              </w:rPr>
              <w:t>BRD / system relevance</w:t>
            </w:r>
          </w:p>
        </w:tc>
      </w:tr>
      <w:tr>
        <w:tc>
          <w:tcPr>
            <w:tcW w:type="dxa" w:w="3120"/>
          </w:tcPr>
          <w:p>
            <w:r/>
            <w:r>
              <w:rPr>
                <w:rFonts w:ascii="Times New Roman" w:hAnsi="Times New Roman" w:eastAsia="Times New Roman"/>
                <w:b w:val="0"/>
                <w:sz w:val="20"/>
              </w:rPr>
              <w:t>Sec. 90</w:t>
            </w:r>
          </w:p>
        </w:tc>
        <w:tc>
          <w:tcPr>
            <w:tcW w:type="dxa" w:w="3120"/>
          </w:tcPr>
          <w:p>
            <w:r/>
            <w:r>
              <w:rPr>
                <w:rFonts w:ascii="Times New Roman" w:hAnsi="Times New Roman" w:eastAsia="Times New Roman"/>
                <w:b w:val="0"/>
                <w:sz w:val="20"/>
              </w:rPr>
              <w:t>Exemption of certain documents executed by or in favour of Government</w:t>
            </w:r>
          </w:p>
        </w:tc>
        <w:tc>
          <w:tcPr>
            <w:tcW w:type="dxa" w:w="3120"/>
          </w:tcPr>
          <w:p>
            <w:r/>
            <w:r>
              <w:rPr>
                <w:rFonts w:ascii="Times New Roman" w:hAnsi="Times New Roman" w:eastAsia="Times New Roman"/>
                <w:b w:val="0"/>
                <w:sz w:val="20"/>
              </w:rPr>
              <w:t>Instruments/maps that need not be registered — candidates for Integration exemption / non-push configuration</w:t>
            </w:r>
          </w:p>
        </w:tc>
      </w:tr>
      <w:tr>
        <w:tc>
          <w:tcPr>
            <w:tcW w:type="dxa" w:w="3120"/>
          </w:tcPr>
          <w:p>
            <w:r/>
            <w:r>
              <w:rPr>
                <w:rFonts w:ascii="Times New Roman" w:hAnsi="Times New Roman" w:eastAsia="Times New Roman"/>
                <w:b w:val="0"/>
                <w:sz w:val="20"/>
              </w:rPr>
              <w:t>Sec. 91</w:t>
            </w:r>
          </w:p>
        </w:tc>
        <w:tc>
          <w:tcPr>
            <w:tcW w:type="dxa" w:w="3120"/>
          </w:tcPr>
          <w:p>
            <w:r/>
            <w:r>
              <w:rPr>
                <w:rFonts w:ascii="Times New Roman" w:hAnsi="Times New Roman" w:eastAsia="Times New Roman"/>
                <w:b w:val="0"/>
                <w:sz w:val="20"/>
              </w:rPr>
              <w:t>Inspection and copies of Sec. 90 documents</w:t>
            </w:r>
          </w:p>
        </w:tc>
        <w:tc>
          <w:tcPr>
            <w:tcW w:type="dxa" w:w="3120"/>
          </w:tcPr>
          <w:p>
            <w:r/>
            <w:r>
              <w:rPr>
                <w:rFonts w:ascii="Times New Roman" w:hAnsi="Times New Roman" w:eastAsia="Times New Roman"/>
                <w:b w:val="0"/>
                <w:sz w:val="20"/>
              </w:rPr>
              <w:t>Exempted records remain inspectable / copyable under notified fees</w:t>
            </w:r>
          </w:p>
        </w:tc>
      </w:tr>
      <w:tr>
        <w:tc>
          <w:tcPr>
            <w:tcW w:type="dxa" w:w="3120"/>
          </w:tcPr>
          <w:p>
            <w:r/>
            <w:r>
              <w:rPr>
                <w:rFonts w:ascii="Times New Roman" w:hAnsi="Times New Roman" w:eastAsia="Times New Roman"/>
                <w:b w:val="0"/>
                <w:sz w:val="20"/>
              </w:rPr>
              <w:t>Sec. 17 proviso / State exemptions</w:t>
            </w:r>
          </w:p>
        </w:tc>
        <w:tc>
          <w:tcPr>
            <w:tcW w:type="dxa" w:w="3120"/>
          </w:tcPr>
          <w:p>
            <w:r/>
            <w:r>
              <w:rPr>
                <w:rFonts w:ascii="Times New Roman" w:hAnsi="Times New Roman" w:eastAsia="Times New Roman"/>
                <w:b w:val="0"/>
                <w:sz w:val="20"/>
              </w:rPr>
              <w:t>State Government may exempt certain leases etc. by notification</w:t>
            </w:r>
          </w:p>
        </w:tc>
        <w:tc>
          <w:tcPr>
            <w:tcW w:type="dxa" w:w="3120"/>
          </w:tcPr>
          <w:p>
            <w:r/>
            <w:r>
              <w:rPr>
                <w:rFonts w:ascii="Times New Roman" w:hAnsi="Times New Roman" w:eastAsia="Times New Roman"/>
                <w:b w:val="0"/>
                <w:sz w:val="20"/>
              </w:rPr>
              <w:t>Configurable exemption master for article / deed types not requiring external push</w:t>
            </w:r>
          </w:p>
        </w:tc>
      </w:tr>
      <w:tr>
        <w:tc>
          <w:tcPr>
            <w:tcW w:type="dxa" w:w="3120"/>
          </w:tcPr>
          <w:p>
            <w:r/>
            <w:r>
              <w:rPr>
                <w:rFonts w:ascii="Times New Roman" w:hAnsi="Times New Roman" w:eastAsia="Times New Roman"/>
                <w:b w:val="0"/>
                <w:sz w:val="20"/>
              </w:rPr>
              <w:t>Stamp Act Sec. 3 + Schedule exemptions</w:t>
            </w:r>
          </w:p>
        </w:tc>
        <w:tc>
          <w:tcPr>
            <w:tcW w:type="dxa" w:w="3120"/>
          </w:tcPr>
          <w:p>
            <w:r/>
            <w:r>
              <w:rPr>
                <w:rFonts w:ascii="Times New Roman" w:hAnsi="Times New Roman" w:eastAsia="Times New Roman"/>
                <w:b w:val="0"/>
                <w:sz w:val="20"/>
              </w:rPr>
              <w:t>Instruments exempt / remitted from stamp duty</w:t>
            </w:r>
          </w:p>
        </w:tc>
        <w:tc>
          <w:tcPr>
            <w:tcW w:type="dxa" w:w="3120"/>
          </w:tcPr>
          <w:p>
            <w:r/>
            <w:r>
              <w:rPr>
                <w:rFonts w:ascii="Times New Roman" w:hAnsi="Times New Roman" w:eastAsia="Times New Roman"/>
                <w:b w:val="0"/>
                <w:sz w:val="20"/>
              </w:rPr>
              <w:t>Stamp-exempt registration flows must still complete without false challan / integration failures (ServiceDesk 31768)</w:t>
            </w:r>
          </w:p>
        </w:tc>
      </w:tr>
    </w:tbl>
    <w:p/>
    <w:p>
      <w:r>
        <w:rPr>
          <w:rFonts w:ascii="Segoe UI" w:hAnsi="Segoe UI" w:eastAsia="Segoe UI"/>
          <w:b/>
          <w:sz w:val="27"/>
        </w:rPr>
        <w:t>2.3 Court entry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Section</w:t>
            </w:r>
          </w:p>
        </w:tc>
        <w:tc>
          <w:tcPr>
            <w:tcW w:type="dxa" w:w="3120"/>
            <w:shd w:val="clear" w:color="auto" w:fill="D9E2F3"/>
          </w:tcPr>
          <w:p>
            <w:r>
              <w:rPr>
                <w:b/>
              </w:rPr>
            </w:r>
            <w:r>
              <w:rPr>
                <w:rFonts w:ascii="Times New Roman" w:hAnsi="Times New Roman" w:eastAsia="Times New Roman"/>
                <w:b/>
                <w:sz w:val="24"/>
              </w:rPr>
              <w:t>Topic</w:t>
            </w:r>
          </w:p>
        </w:tc>
        <w:tc>
          <w:tcPr>
            <w:tcW w:type="dxa" w:w="3120"/>
            <w:shd w:val="clear" w:color="auto" w:fill="D9E2F3"/>
          </w:tcPr>
          <w:p>
            <w:r>
              <w:rPr>
                <w:b/>
              </w:rPr>
            </w:r>
            <w:r>
              <w:rPr>
                <w:rFonts w:ascii="Times New Roman" w:hAnsi="Times New Roman" w:eastAsia="Times New Roman"/>
                <w:b/>
                <w:sz w:val="24"/>
              </w:rPr>
              <w:t>BRD / system relevance</w:t>
            </w:r>
          </w:p>
        </w:tc>
      </w:tr>
      <w:tr>
        <w:tc>
          <w:tcPr>
            <w:tcW w:type="dxa" w:w="3120"/>
          </w:tcPr>
          <w:p>
            <w:r/>
            <w:r>
              <w:rPr>
                <w:rFonts w:ascii="Times New Roman" w:hAnsi="Times New Roman" w:eastAsia="Times New Roman"/>
                <w:b w:val="0"/>
                <w:sz w:val="20"/>
              </w:rPr>
              <w:t>Sec. 89(2)</w:t>
            </w:r>
          </w:p>
        </w:tc>
        <w:tc>
          <w:tcPr>
            <w:tcW w:type="dxa" w:w="3120"/>
          </w:tcPr>
          <w:p>
            <w:r/>
            <w:r>
              <w:rPr>
                <w:rFonts w:ascii="Times New Roman" w:hAnsi="Times New Roman" w:eastAsia="Times New Roman"/>
                <w:b w:val="0"/>
                <w:sz w:val="20"/>
              </w:rPr>
              <w:t>Court granting certificate of sale of immovable property — send copy to registering officer; file in Book 1</w:t>
            </w:r>
          </w:p>
        </w:tc>
        <w:tc>
          <w:tcPr>
            <w:tcW w:type="dxa" w:w="3120"/>
          </w:tcPr>
          <w:p>
            <w:r/>
            <w:r>
              <w:rPr>
                <w:rFonts w:ascii="Times New Roman" w:hAnsi="Times New Roman" w:eastAsia="Times New Roman"/>
                <w:b w:val="0"/>
                <w:sz w:val="20"/>
              </w:rPr>
              <w:t>Primary Court entry statutory path for sale certificates</w:t>
            </w:r>
          </w:p>
        </w:tc>
      </w:tr>
      <w:tr>
        <w:tc>
          <w:tcPr>
            <w:tcW w:type="dxa" w:w="3120"/>
          </w:tcPr>
          <w:p>
            <w:r/>
            <w:r>
              <w:rPr>
                <w:rFonts w:ascii="Times New Roman" w:hAnsi="Times New Roman" w:eastAsia="Times New Roman"/>
                <w:b w:val="0"/>
                <w:sz w:val="20"/>
              </w:rPr>
              <w:t>Sec. 89(1),(3),(4)</w:t>
            </w:r>
          </w:p>
        </w:tc>
        <w:tc>
          <w:tcPr>
            <w:tcW w:type="dxa" w:w="3120"/>
          </w:tcPr>
          <w:p>
            <w:r/>
            <w:r>
              <w:rPr>
                <w:rFonts w:ascii="Times New Roman" w:hAnsi="Times New Roman" w:eastAsia="Times New Roman"/>
                <w:b w:val="0"/>
                <w:sz w:val="20"/>
              </w:rPr>
              <w:t>Loan orders / mortgage instruments / Revenue sale certificates filed in Book 1</w:t>
            </w:r>
          </w:p>
        </w:tc>
        <w:tc>
          <w:tcPr>
            <w:tcW w:type="dxa" w:w="3120"/>
          </w:tcPr>
          <w:p>
            <w:r/>
            <w:r>
              <w:rPr>
                <w:rFonts w:ascii="Times New Roman" w:hAnsi="Times New Roman" w:eastAsia="Times New Roman"/>
                <w:b w:val="0"/>
                <w:sz w:val="20"/>
              </w:rPr>
              <w:t>Parallel institutional entry paths alongside Court entry</w:t>
            </w:r>
          </w:p>
        </w:tc>
      </w:tr>
      <w:tr>
        <w:tc>
          <w:tcPr>
            <w:tcW w:type="dxa" w:w="3120"/>
          </w:tcPr>
          <w:p>
            <w:r/>
            <w:r>
              <w:rPr>
                <w:rFonts w:ascii="Times New Roman" w:hAnsi="Times New Roman" w:eastAsia="Times New Roman"/>
                <w:b w:val="0"/>
                <w:sz w:val="20"/>
              </w:rPr>
              <w:t>Sec. 17(1) / (2)</w:t>
            </w:r>
          </w:p>
        </w:tc>
        <w:tc>
          <w:tcPr>
            <w:tcW w:type="dxa" w:w="3120"/>
          </w:tcPr>
          <w:p>
            <w:r/>
            <w:r>
              <w:rPr>
                <w:rFonts w:ascii="Times New Roman" w:hAnsi="Times New Roman" w:eastAsia="Times New Roman"/>
                <w:b w:val="0"/>
                <w:sz w:val="20"/>
              </w:rPr>
              <w:t>Decrees and orders of Court affecting immovable property</w:t>
            </w:r>
          </w:p>
        </w:tc>
        <w:tc>
          <w:tcPr>
            <w:tcW w:type="dxa" w:w="3120"/>
          </w:tcPr>
          <w:p>
            <w:r/>
            <w:r>
              <w:rPr>
                <w:rFonts w:ascii="Times New Roman" w:hAnsi="Times New Roman" w:eastAsia="Times New Roman"/>
                <w:b w:val="0"/>
                <w:sz w:val="20"/>
              </w:rPr>
              <w:t>Court decrees presented for registration or filed as directed</w:t>
            </w:r>
          </w:p>
        </w:tc>
      </w:tr>
      <w:tr>
        <w:tc>
          <w:tcPr>
            <w:tcW w:type="dxa" w:w="3120"/>
          </w:tcPr>
          <w:p>
            <w:r/>
            <w:r>
              <w:rPr>
                <w:rFonts w:ascii="Times New Roman" w:hAnsi="Times New Roman" w:eastAsia="Times New Roman"/>
                <w:b w:val="0"/>
                <w:sz w:val="20"/>
              </w:rPr>
              <w:t>Secs. 75 / 77</w:t>
            </w:r>
          </w:p>
        </w:tc>
        <w:tc>
          <w:tcPr>
            <w:tcW w:type="dxa" w:w="3120"/>
          </w:tcPr>
          <w:p>
            <w:r/>
            <w:r>
              <w:rPr>
                <w:rFonts w:ascii="Times New Roman" w:hAnsi="Times New Roman" w:eastAsia="Times New Roman"/>
                <w:b w:val="0"/>
                <w:sz w:val="20"/>
              </w:rPr>
              <w:t>Registrar or Court order directing registration after appeal / suit</w:t>
            </w:r>
          </w:p>
        </w:tc>
        <w:tc>
          <w:tcPr>
            <w:tcW w:type="dxa" w:w="3120"/>
          </w:tcPr>
          <w:p>
            <w:r/>
            <w:r>
              <w:rPr>
                <w:rFonts w:ascii="Times New Roman" w:hAnsi="Times New Roman" w:eastAsia="Times New Roman"/>
                <w:b w:val="0"/>
                <w:sz w:val="20"/>
              </w:rPr>
              <w:t>Court-ordered registration status (distinct from Sec. 89 filing)</w:t>
            </w:r>
          </w:p>
        </w:tc>
      </w:tr>
    </w:tbl>
    <w:p/>
    <w:p>
      <w:r>
        <w:rPr>
          <w:rFonts w:ascii="Segoe UI" w:hAnsi="Segoe UI" w:eastAsia="Segoe UI"/>
          <w:b/>
          <w:sz w:val="27"/>
        </w:rPr>
        <w:t>2.4 Liability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Section</w:t>
            </w:r>
          </w:p>
        </w:tc>
        <w:tc>
          <w:tcPr>
            <w:tcW w:type="dxa" w:w="3120"/>
            <w:shd w:val="clear" w:color="auto" w:fill="D9E2F3"/>
          </w:tcPr>
          <w:p>
            <w:r>
              <w:rPr>
                <w:b/>
              </w:rPr>
            </w:r>
            <w:r>
              <w:rPr>
                <w:rFonts w:ascii="Times New Roman" w:hAnsi="Times New Roman" w:eastAsia="Times New Roman"/>
                <w:b/>
                <w:sz w:val="24"/>
              </w:rPr>
              <w:t>Topic</w:t>
            </w:r>
          </w:p>
        </w:tc>
        <w:tc>
          <w:tcPr>
            <w:tcW w:type="dxa" w:w="3120"/>
            <w:shd w:val="clear" w:color="auto" w:fill="D9E2F3"/>
          </w:tcPr>
          <w:p>
            <w:r>
              <w:rPr>
                <w:b/>
              </w:rPr>
            </w:r>
            <w:r>
              <w:rPr>
                <w:rFonts w:ascii="Times New Roman" w:hAnsi="Times New Roman" w:eastAsia="Times New Roman"/>
                <w:b/>
                <w:sz w:val="24"/>
              </w:rPr>
              <w:t>BRD / system relevance</w:t>
            </w:r>
          </w:p>
        </w:tc>
      </w:tr>
      <w:tr>
        <w:tc>
          <w:tcPr>
            <w:tcW w:type="dxa" w:w="3120"/>
          </w:tcPr>
          <w:p>
            <w:r/>
            <w:r>
              <w:rPr>
                <w:rFonts w:ascii="Times New Roman" w:hAnsi="Times New Roman" w:eastAsia="Times New Roman"/>
                <w:b w:val="0"/>
                <w:sz w:val="20"/>
              </w:rPr>
              <w:t>Sec. 57 / Rules 148–154 (context)</w:t>
            </w:r>
          </w:p>
        </w:tc>
        <w:tc>
          <w:tcPr>
            <w:tcW w:type="dxa" w:w="3120"/>
          </w:tcPr>
          <w:p>
            <w:r/>
            <w:r>
              <w:rPr>
                <w:rFonts w:ascii="Times New Roman" w:hAnsi="Times New Roman" w:eastAsia="Times New Roman"/>
                <w:b w:val="0"/>
                <w:sz w:val="20"/>
              </w:rPr>
              <w:t>Inspection, search and Certificate of encumbrance</w:t>
            </w:r>
          </w:p>
        </w:tc>
        <w:tc>
          <w:tcPr>
            <w:tcW w:type="dxa" w:w="3120"/>
          </w:tcPr>
          <w:p>
            <w:r/>
            <w:r>
              <w:rPr>
                <w:rFonts w:ascii="Times New Roman" w:hAnsi="Times New Roman" w:eastAsia="Times New Roman"/>
                <w:b w:val="0"/>
                <w:sz w:val="20"/>
              </w:rPr>
              <w:t>Liability filings must appear (or be removable) on EC / property search for the correct survey / village / FY</w:t>
            </w:r>
          </w:p>
        </w:tc>
      </w:tr>
      <w:tr>
        <w:tc>
          <w:tcPr>
            <w:tcW w:type="dxa" w:w="3120"/>
          </w:tcPr>
          <w:p>
            <w:r/>
            <w:r>
              <w:rPr>
                <w:rFonts w:ascii="Times New Roman" w:hAnsi="Times New Roman" w:eastAsia="Times New Roman"/>
                <w:b w:val="0"/>
                <w:sz w:val="20"/>
              </w:rPr>
              <w:t>Sec. 68 / Rule 123 (related)</w:t>
            </w:r>
          </w:p>
        </w:tc>
        <w:tc>
          <w:tcPr>
            <w:tcW w:type="dxa" w:w="3120"/>
          </w:tcPr>
          <w:p>
            <w:r/>
            <w:r>
              <w:rPr>
                <w:rFonts w:ascii="Times New Roman" w:hAnsi="Times New Roman" w:eastAsia="Times New Roman"/>
                <w:b w:val="0"/>
                <w:sz w:val="20"/>
              </w:rPr>
              <w:t>DR control; cross-notes on modification of earlier entries</w:t>
            </w:r>
          </w:p>
        </w:tc>
        <w:tc>
          <w:tcPr>
            <w:tcW w:type="dxa" w:w="3120"/>
          </w:tcPr>
          <w:p>
            <w:r/>
            <w:r>
              <w:rPr>
                <w:rFonts w:ascii="Times New Roman" w:hAnsi="Times New Roman" w:eastAsia="Times New Roman"/>
                <w:b w:val="0"/>
                <w:sz w:val="20"/>
              </w:rPr>
              <w:t>Liability order / note may need cross-link to property and later removal or rectification under DR control</w:t>
            </w:r>
          </w:p>
        </w:tc>
      </w:tr>
      <w:tr>
        <w:tc>
          <w:tcPr>
            <w:tcW w:type="dxa" w:w="3120"/>
          </w:tcPr>
          <w:p>
            <w:r/>
            <w:r>
              <w:rPr>
                <w:rFonts w:ascii="Times New Roman" w:hAnsi="Times New Roman" w:eastAsia="Times New Roman"/>
                <w:b w:val="0"/>
                <w:sz w:val="20"/>
              </w:rPr>
              <w:t>Stamp Act — charge / undervaluation context</w:t>
            </w:r>
          </w:p>
        </w:tc>
        <w:tc>
          <w:tcPr>
            <w:tcW w:type="dxa" w:w="3120"/>
          </w:tcPr>
          <w:p>
            <w:r/>
            <w:r>
              <w:rPr>
                <w:rFonts w:ascii="Times New Roman" w:hAnsi="Times New Roman" w:eastAsia="Times New Roman"/>
                <w:b w:val="0"/>
                <w:sz w:val="20"/>
              </w:rPr>
              <w:t>Instruments creating rights/liabilities; Sec. 45-A references</w:t>
            </w:r>
          </w:p>
        </w:tc>
        <w:tc>
          <w:tcPr>
            <w:tcW w:type="dxa" w:w="3120"/>
          </w:tcPr>
          <w:p>
            <w:r/>
            <w:r>
              <w:rPr>
                <w:rFonts w:ascii="Times New Roman" w:hAnsi="Times New Roman" w:eastAsia="Times New Roman"/>
                <w:b w:val="0"/>
                <w:sz w:val="20"/>
              </w:rPr>
              <w:t>Business liability notes are departmental overlays on property — confirm with Domain Expert the exact statutory instrument for Kaveri Liability Filing</w:t>
            </w:r>
          </w:p>
        </w:tc>
      </w:tr>
    </w:tbl>
    <w:p/>
    <w:p>
      <w:r>
        <w:rPr>
          <w:rFonts w:ascii="Segoe UI" w:hAnsi="Segoe UI" w:eastAsia="Segoe UI"/>
          <w:b/>
          <w:sz w:val="29"/>
        </w:rPr>
        <w:t>3. Relevant Rules — Karnataka Registration Rules, 1965</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Rule</w:t>
            </w:r>
          </w:p>
        </w:tc>
        <w:tc>
          <w:tcPr>
            <w:tcW w:type="dxa" w:w="3120"/>
            <w:shd w:val="clear" w:color="auto" w:fill="D9E2F3"/>
          </w:tcPr>
          <w:p>
            <w:r>
              <w:rPr>
                <w:b/>
              </w:rPr>
            </w:r>
            <w:r>
              <w:rPr>
                <w:rFonts w:ascii="Times New Roman" w:hAnsi="Times New Roman" w:eastAsia="Times New Roman"/>
                <w:b/>
                <w:sz w:val="24"/>
              </w:rPr>
              <w:t>Requirement</w:t>
            </w:r>
          </w:p>
        </w:tc>
        <w:tc>
          <w:tcPr>
            <w:tcW w:type="dxa" w:w="3120"/>
            <w:shd w:val="clear" w:color="auto" w:fill="D9E2F3"/>
          </w:tcPr>
          <w:p>
            <w:r>
              <w:rPr>
                <w:b/>
              </w:rPr>
            </w:r>
            <w:r>
              <w:rPr>
                <w:rFonts w:ascii="Times New Roman" w:hAnsi="Times New Roman" w:eastAsia="Times New Roman"/>
                <w:b/>
                <w:sz w:val="24"/>
              </w:rPr>
              <w:t>System feature</w:t>
            </w:r>
          </w:p>
        </w:tc>
      </w:tr>
      <w:tr>
        <w:tc>
          <w:tcPr>
            <w:tcW w:type="dxa" w:w="3120"/>
          </w:tcPr>
          <w:p>
            <w:r/>
            <w:r>
              <w:rPr>
                <w:rFonts w:ascii="Times New Roman" w:hAnsi="Times New Roman" w:eastAsia="Times New Roman"/>
                <w:b w:val="0"/>
                <w:sz w:val="20"/>
              </w:rPr>
              <w:t>Rule 17 (esp. Part I)</w:t>
            </w:r>
          </w:p>
        </w:tc>
        <w:tc>
          <w:tcPr>
            <w:tcW w:type="dxa" w:w="3120"/>
          </w:tcPr>
          <w:p>
            <w:r/>
            <w:r>
              <w:rPr>
                <w:rFonts w:ascii="Times New Roman" w:hAnsi="Times New Roman" w:eastAsia="Times New Roman"/>
                <w:b w:val="0"/>
                <w:sz w:val="20"/>
              </w:rPr>
              <w:t>Court / Revenue sale certificates; LA statements; institutional filings into Book 1 supplements</w:t>
            </w:r>
          </w:p>
        </w:tc>
        <w:tc>
          <w:tcPr>
            <w:tcW w:type="dxa" w:w="3120"/>
          </w:tcPr>
          <w:p>
            <w:r/>
            <w:r>
              <w:rPr>
                <w:rFonts w:ascii="Times New Roman" w:hAnsi="Times New Roman" w:eastAsia="Times New Roman"/>
                <w:b w:val="0"/>
                <w:sz w:val="20"/>
              </w:rPr>
              <w:t>Court entry + institutional intake storage</w:t>
            </w:r>
          </w:p>
        </w:tc>
      </w:tr>
      <w:tr>
        <w:tc>
          <w:tcPr>
            <w:tcW w:type="dxa" w:w="3120"/>
          </w:tcPr>
          <w:p>
            <w:r/>
            <w:r>
              <w:rPr>
                <w:rFonts w:ascii="Times New Roman" w:hAnsi="Times New Roman" w:eastAsia="Times New Roman"/>
                <w:b w:val="0"/>
                <w:sz w:val="20"/>
              </w:rPr>
              <w:t>Rules 148–154</w:t>
            </w:r>
          </w:p>
        </w:tc>
        <w:tc>
          <w:tcPr>
            <w:tcW w:type="dxa" w:w="3120"/>
          </w:tcPr>
          <w:p>
            <w:r/>
            <w:r>
              <w:rPr>
                <w:rFonts w:ascii="Times New Roman" w:hAnsi="Times New Roman" w:eastAsia="Times New Roman"/>
                <w:b w:val="0"/>
                <w:sz w:val="20"/>
              </w:rPr>
              <w:t>Certificate of encumbrance — complete list of acts and encumbrances</w:t>
            </w:r>
          </w:p>
        </w:tc>
        <w:tc>
          <w:tcPr>
            <w:tcW w:type="dxa" w:w="3120"/>
          </w:tcPr>
          <w:p>
            <w:r/>
            <w:r>
              <w:rPr>
                <w:rFonts w:ascii="Times New Roman" w:hAnsi="Times New Roman" w:eastAsia="Times New Roman"/>
                <w:b w:val="0"/>
                <w:sz w:val="20"/>
              </w:rPr>
              <w:t>Liability notes must be included / excluded correctly on EC</w:t>
            </w:r>
          </w:p>
        </w:tc>
      </w:tr>
      <w:tr>
        <w:tc>
          <w:tcPr>
            <w:tcW w:type="dxa" w:w="3120"/>
          </w:tcPr>
          <w:p>
            <w:r/>
            <w:r>
              <w:rPr>
                <w:rFonts w:ascii="Times New Roman" w:hAnsi="Times New Roman" w:eastAsia="Times New Roman"/>
                <w:b w:val="0"/>
                <w:sz w:val="20"/>
              </w:rPr>
              <w:t>Rules 184 / 188</w:t>
            </w:r>
          </w:p>
        </w:tc>
        <w:tc>
          <w:tcPr>
            <w:tcW w:type="dxa" w:w="3120"/>
          </w:tcPr>
          <w:p>
            <w:r/>
            <w:r>
              <w:rPr>
                <w:rFonts w:ascii="Times New Roman" w:hAnsi="Times New Roman" w:eastAsia="Times New Roman"/>
                <w:b w:val="0"/>
                <w:sz w:val="20"/>
              </w:rPr>
              <w:t>Registration ordered by Registrar or Court; endorsement after enquiry</w:t>
            </w:r>
          </w:p>
        </w:tc>
        <w:tc>
          <w:tcPr>
            <w:tcW w:type="dxa" w:w="3120"/>
          </w:tcPr>
          <w:p>
            <w:r/>
            <w:r>
              <w:rPr>
                <w:rFonts w:ascii="Times New Roman" w:hAnsi="Times New Roman" w:eastAsia="Times New Roman"/>
                <w:b w:val="0"/>
                <w:sz w:val="20"/>
              </w:rPr>
              <w:t>Court-directed registration workflow</w:t>
            </w:r>
          </w:p>
        </w:tc>
      </w:tr>
      <w:tr>
        <w:tc>
          <w:tcPr>
            <w:tcW w:type="dxa" w:w="3120"/>
          </w:tcPr>
          <w:p>
            <w:r/>
            <w:r>
              <w:rPr>
                <w:rFonts w:ascii="Times New Roman" w:hAnsi="Times New Roman" w:eastAsia="Times New Roman"/>
                <w:b w:val="0"/>
                <w:sz w:val="20"/>
              </w:rPr>
              <w:t>Rule 166</w:t>
            </w:r>
          </w:p>
        </w:tc>
        <w:tc>
          <w:tcPr>
            <w:tcW w:type="dxa" w:w="3120"/>
          </w:tcPr>
          <w:p>
            <w:r/>
            <w:r>
              <w:rPr>
                <w:rFonts w:ascii="Times New Roman" w:hAnsi="Times New Roman" w:eastAsia="Times New Roman"/>
                <w:b w:val="0"/>
                <w:sz w:val="20"/>
              </w:rPr>
              <w:t>Copy of memo or decree of a Court</w:t>
            </w:r>
          </w:p>
        </w:tc>
        <w:tc>
          <w:tcPr>
            <w:tcW w:type="dxa" w:w="3120"/>
          </w:tcPr>
          <w:p>
            <w:r/>
            <w:r>
              <w:rPr>
                <w:rFonts w:ascii="Times New Roman" w:hAnsi="Times New Roman" w:eastAsia="Times New Roman"/>
                <w:b w:val="0"/>
                <w:sz w:val="20"/>
              </w:rPr>
              <w:t>Court decree copy handling when property is in another district</w:t>
            </w:r>
          </w:p>
        </w:tc>
      </w:tr>
      <w:tr>
        <w:tc>
          <w:tcPr>
            <w:tcW w:type="dxa" w:w="3120"/>
          </w:tcPr>
          <w:p>
            <w:r/>
            <w:r>
              <w:rPr>
                <w:rFonts w:ascii="Times New Roman" w:hAnsi="Times New Roman" w:eastAsia="Times New Roman"/>
                <w:b w:val="0"/>
                <w:sz w:val="20"/>
              </w:rPr>
              <w:t>Rule 123</w:t>
            </w:r>
          </w:p>
        </w:tc>
        <w:tc>
          <w:tcPr>
            <w:tcW w:type="dxa" w:w="3120"/>
          </w:tcPr>
          <w:p>
            <w:r/>
            <w:r>
              <w:rPr>
                <w:rFonts w:ascii="Times New Roman" w:hAnsi="Times New Roman" w:eastAsia="Times New Roman"/>
                <w:b w:val="0"/>
                <w:sz w:val="20"/>
              </w:rPr>
              <w:t>Cross-notes when a communication modifies / cancels an earlier entry</w:t>
            </w:r>
          </w:p>
        </w:tc>
        <w:tc>
          <w:tcPr>
            <w:tcW w:type="dxa" w:w="3120"/>
          </w:tcPr>
          <w:p>
            <w:r/>
            <w:r>
              <w:rPr>
                <w:rFonts w:ascii="Times New Roman" w:hAnsi="Times New Roman" w:eastAsia="Times New Roman"/>
                <w:b w:val="0"/>
                <w:sz w:val="20"/>
              </w:rPr>
              <w:t>Related when Court / liability communication affects a prior filing</w:t>
            </w:r>
          </w:p>
        </w:tc>
      </w:tr>
      <w:tr>
        <w:tc>
          <w:tcPr>
            <w:tcW w:type="dxa" w:w="3120"/>
          </w:tcPr>
          <w:p>
            <w:r/>
            <w:r>
              <w:rPr>
                <w:rFonts w:ascii="Times New Roman" w:hAnsi="Times New Roman" w:eastAsia="Times New Roman"/>
                <w:b w:val="0"/>
                <w:sz w:val="20"/>
              </w:rPr>
              <w:t>Rules 202 / Sec. 88</w:t>
            </w:r>
          </w:p>
        </w:tc>
        <w:tc>
          <w:tcPr>
            <w:tcW w:type="dxa" w:w="3120"/>
          </w:tcPr>
          <w:p>
            <w:r/>
            <w:r>
              <w:rPr>
                <w:rFonts w:ascii="Times New Roman" w:hAnsi="Times New Roman" w:eastAsia="Times New Roman"/>
                <w:b w:val="0"/>
                <w:sz w:val="20"/>
              </w:rPr>
              <w:t>Govt officers / public functionaries exempt from personal appearance</w:t>
            </w:r>
          </w:p>
        </w:tc>
        <w:tc>
          <w:tcPr>
            <w:tcW w:type="dxa" w:w="3120"/>
          </w:tcPr>
          <w:p>
            <w:r/>
            <w:r>
              <w:rPr>
                <w:rFonts w:ascii="Times New Roman" w:hAnsi="Times New Roman" w:eastAsia="Times New Roman"/>
                <w:b w:val="0"/>
                <w:sz w:val="20"/>
              </w:rPr>
              <w:t>Related exemption practice for institutional presentants (not Integration exemption per se)</w:t>
            </w:r>
          </w:p>
        </w:tc>
      </w:tr>
    </w:tbl>
    <w:p/>
    <w:p>
      <w:r>
        <w:rPr>
          <w:rFonts w:ascii="Segoe UI" w:hAnsi="Segoe UI" w:eastAsia="Segoe UI"/>
          <w:b/>
          <w:sz w:val="29"/>
        </w:rPr>
        <w:t>4. Notifications / amendments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rPr>
            </w:r>
            <w:r>
              <w:rPr>
                <w:rFonts w:ascii="Times New Roman" w:hAnsi="Times New Roman" w:eastAsia="Times New Roman"/>
                <w:b/>
                <w:sz w:val="24"/>
              </w:rPr>
              <w:t>Instrument</w:t>
            </w:r>
          </w:p>
        </w:tc>
        <w:tc>
          <w:tcPr>
            <w:tcW w:type="dxa" w:w="3120"/>
            <w:shd w:val="clear" w:color="auto" w:fill="D9E2F3"/>
          </w:tcPr>
          <w:p>
            <w:r>
              <w:rPr>
                <w:b/>
              </w:rPr>
            </w:r>
            <w:r>
              <w:rPr>
                <w:rFonts w:ascii="Times New Roman" w:hAnsi="Times New Roman" w:eastAsia="Times New Roman"/>
                <w:b/>
                <w:sz w:val="24"/>
              </w:rPr>
              <w:t>Effect</w:t>
            </w:r>
          </w:p>
        </w:tc>
        <w:tc>
          <w:tcPr>
            <w:tcW w:type="dxa" w:w="3120"/>
            <w:shd w:val="clear" w:color="auto" w:fill="D9E2F3"/>
          </w:tcPr>
          <w:p>
            <w:r>
              <w:rPr>
                <w:b/>
              </w:rPr>
            </w:r>
            <w:r>
              <w:rPr>
                <w:rFonts w:ascii="Times New Roman" w:hAnsi="Times New Roman" w:eastAsia="Times New Roman"/>
                <w:b/>
                <w:sz w:val="24"/>
              </w:rPr>
              <w:t>Topics</w:t>
            </w:r>
          </w:p>
        </w:tc>
      </w:tr>
      <w:tr>
        <w:tc>
          <w:tcPr>
            <w:tcW w:type="dxa" w:w="3120"/>
          </w:tcPr>
          <w:p>
            <w:r/>
            <w:r>
              <w:rPr>
                <w:rFonts w:ascii="Times New Roman" w:hAnsi="Times New Roman" w:eastAsia="Times New Roman"/>
                <w:b w:val="0"/>
                <w:sz w:val="20"/>
              </w:rPr>
              <w:t>The Karnataka Registration Rules, 1965 (under Registration Act Sec. 69)</w:t>
            </w:r>
          </w:p>
        </w:tc>
        <w:tc>
          <w:tcPr>
            <w:tcW w:type="dxa" w:w="3120"/>
          </w:tcPr>
          <w:p>
            <w:r/>
            <w:r>
              <w:rPr>
                <w:rFonts w:ascii="Times New Roman" w:hAnsi="Times New Roman" w:eastAsia="Times New Roman"/>
                <w:b w:val="0"/>
                <w:sz w:val="20"/>
              </w:rPr>
              <w:t>Parent rules for Rule 17 Court/institutional filing and EC rules</w:t>
            </w:r>
          </w:p>
        </w:tc>
        <w:tc>
          <w:tcPr>
            <w:tcW w:type="dxa" w:w="3120"/>
          </w:tcPr>
          <w:p>
            <w:r/>
            <w:r>
              <w:rPr>
                <w:rFonts w:ascii="Times New Roman" w:hAnsi="Times New Roman" w:eastAsia="Times New Roman"/>
                <w:b w:val="0"/>
                <w:sz w:val="20"/>
              </w:rPr>
              <w:t>Court entry; Liability (EC)</w:t>
            </w:r>
          </w:p>
        </w:tc>
      </w:tr>
      <w:tr>
        <w:tc>
          <w:tcPr>
            <w:tcW w:type="dxa" w:w="3120"/>
          </w:tcPr>
          <w:p>
            <w:r/>
            <w:r>
              <w:rPr>
                <w:rFonts w:ascii="Times New Roman" w:hAnsi="Times New Roman" w:eastAsia="Times New Roman"/>
                <w:b w:val="0"/>
                <w:sz w:val="20"/>
              </w:rPr>
              <w:t>RD 403 ESR 85 / RD/46/MNMU/2025 (Table of Fees under Sec. 78)</w:t>
            </w:r>
          </w:p>
        </w:tc>
        <w:tc>
          <w:tcPr>
            <w:tcW w:type="dxa" w:w="3120"/>
          </w:tcPr>
          <w:p>
            <w:r/>
            <w:r>
              <w:rPr>
                <w:rFonts w:ascii="Times New Roman" w:hAnsi="Times New Roman" w:eastAsia="Times New Roman"/>
                <w:b w:val="0"/>
                <w:sz w:val="20"/>
              </w:rPr>
              <w:t>Fees for filing / copies / EC; exempted instruments fee handling</w:t>
            </w:r>
          </w:p>
        </w:tc>
        <w:tc>
          <w:tcPr>
            <w:tcW w:type="dxa" w:w="3120"/>
          </w:tcPr>
          <w:p>
            <w:r/>
            <w:r>
              <w:rPr>
                <w:rFonts w:ascii="Times New Roman" w:hAnsi="Times New Roman" w:eastAsia="Times New Roman"/>
                <w:b w:val="0"/>
                <w:sz w:val="20"/>
              </w:rPr>
              <w:t>Integration exemption; Court entry</w:t>
            </w:r>
          </w:p>
        </w:tc>
      </w:tr>
      <w:tr>
        <w:tc>
          <w:tcPr>
            <w:tcW w:type="dxa" w:w="3120"/>
          </w:tcPr>
          <w:p>
            <w:r/>
            <w:r>
              <w:rPr>
                <w:rFonts w:ascii="Times New Roman" w:hAnsi="Times New Roman" w:eastAsia="Times New Roman"/>
                <w:b w:val="0"/>
                <w:sz w:val="20"/>
              </w:rPr>
              <w:t>Bhoomi / RDPR / land-record integration MoUs &amp; technical specs (departmental — outside Acts_Rules/Document PDF set)</w:t>
            </w:r>
          </w:p>
        </w:tc>
        <w:tc>
          <w:tcPr>
            <w:tcW w:type="dxa" w:w="3120"/>
          </w:tcPr>
          <w:p>
            <w:r/>
            <w:r>
              <w:rPr>
                <w:rFonts w:ascii="Times New Roman" w:hAnsi="Times New Roman" w:eastAsia="Times New Roman"/>
                <w:b w:val="0"/>
                <w:sz w:val="20"/>
              </w:rPr>
              <w:t>J-slip / XML push contracts, retry, partial upload — Integration module</w:t>
            </w:r>
          </w:p>
        </w:tc>
        <w:tc>
          <w:tcPr>
            <w:tcW w:type="dxa" w:w="3120"/>
          </w:tcPr>
          <w:p>
            <w:r/>
            <w:r>
              <w:rPr>
                <w:rFonts w:ascii="Times New Roman" w:hAnsi="Times New Roman" w:eastAsia="Times New Roman"/>
                <w:b w:val="0"/>
                <w:sz w:val="20"/>
              </w:rPr>
              <w:t>Integration module</w:t>
            </w:r>
          </w:p>
        </w:tc>
      </w:tr>
      <w:tr>
        <w:tc>
          <w:tcPr>
            <w:tcW w:type="dxa" w:w="3120"/>
          </w:tcPr>
          <w:p>
            <w:r/>
            <w:r>
              <w:rPr>
                <w:rFonts w:ascii="Times New Roman" w:hAnsi="Times New Roman" w:eastAsia="Times New Roman"/>
                <w:b w:val="0"/>
                <w:sz w:val="20"/>
              </w:rPr>
              <w:t>Stamp Schedule / exemption notifications under Stamp Act</w:t>
            </w:r>
          </w:p>
        </w:tc>
        <w:tc>
          <w:tcPr>
            <w:tcW w:type="dxa" w:w="3120"/>
          </w:tcPr>
          <w:p>
            <w:r/>
            <w:r>
              <w:rPr>
                <w:rFonts w:ascii="Times New Roman" w:hAnsi="Times New Roman" w:eastAsia="Times New Roman"/>
                <w:b w:val="0"/>
                <w:sz w:val="20"/>
              </w:rPr>
              <w:t>100% stamp-exempt document classes and receipt display rules</w:t>
            </w:r>
          </w:p>
        </w:tc>
        <w:tc>
          <w:tcPr>
            <w:tcW w:type="dxa" w:w="3120"/>
          </w:tcPr>
          <w:p>
            <w:r/>
            <w:r>
              <w:rPr>
                <w:rFonts w:ascii="Times New Roman" w:hAnsi="Times New Roman" w:eastAsia="Times New Roman"/>
                <w:b w:val="0"/>
                <w:sz w:val="20"/>
              </w:rPr>
              <w:t>Integration exemption</w:t>
            </w:r>
          </w:p>
        </w:tc>
      </w:tr>
    </w:tbl>
    <w:p/>
    <w:p>
      <w:r>
        <w:rPr>
          <w:rFonts w:ascii="Segoe UI" w:hAnsi="Segoe UI" w:eastAsia="Segoe UI"/>
          <w:b/>
          <w:sz w:val="29"/>
        </w:rPr>
        <w:t>5. Pain Points</w:t>
      </w:r>
    </w:p>
    <w:p>
      <w:r>
        <w:rPr>
          <w:rFonts w:ascii="Segoe UI" w:hAnsi="Segoe UI" w:eastAsia="Segoe UI"/>
          <w:b/>
          <w:sz w:val="27"/>
        </w:rPr>
        <w:t xml:space="preserve">Source: </w:t>
      </w:r>
      <w:r>
        <w:rPr>
          <w:rFonts w:ascii="Segoe UI" w:hAnsi="Segoe UI" w:eastAsia="Segoe UI"/>
          <w:b w:val="0"/>
          <w:sz w:val="27"/>
        </w:rPr>
        <w:t>ServiceDeskIssuesList.xlsx (OverallList + Categorized).</w:t>
      </w:r>
    </w:p>
    <w:p>
      <w:r>
        <w:rPr>
          <w:rFonts w:ascii="Segoe UI" w:hAnsi="Segoe UI" w:eastAsia="Segoe UI"/>
          <w:b/>
          <w:sz w:val="27"/>
        </w:rPr>
        <w:t>5.1 Integration module</w:t>
      </w:r>
    </w:p>
    <w:p>
      <w:pPr>
        <w:pStyle w:val="ListBullet"/>
      </w:pPr>
      <w:r>
        <w:rPr>
          <w:rFonts w:ascii="Segoe UI" w:hAnsi="Segoe UI" w:eastAsia="Segoe UI"/>
          <w:b/>
          <w:sz w:val="21"/>
        </w:rPr>
        <w:t xml:space="preserve">11870 / 18110: </w:t>
      </w:r>
      <w:r>
        <w:rPr>
          <w:rFonts w:ascii="Segoe UI" w:hAnsi="Segoe UI" w:eastAsia="Segoe UI"/>
          <w:b w:val="0"/>
          <w:sz w:val="21"/>
        </w:rPr>
        <w:t>Integration Report / Document number not reflected in Integration Report</w:t>
      </w:r>
    </w:p>
    <w:p>
      <w:pPr>
        <w:pStyle w:val="ListBullet"/>
      </w:pPr>
      <w:r>
        <w:rPr>
          <w:rFonts w:ascii="Segoe UI" w:hAnsi="Segoe UI" w:eastAsia="Segoe UI"/>
          <w:b/>
          <w:sz w:val="21"/>
        </w:rPr>
        <w:t xml:space="preserve">16847 / 19405 / 19669: </w:t>
      </w:r>
      <w:r>
        <w:rPr>
          <w:rFonts w:ascii="Segoe UI" w:hAnsi="Segoe UI" w:eastAsia="Segoe UI"/>
          <w:b w:val="0"/>
          <w:sz w:val="21"/>
        </w:rPr>
        <w:t>Unable to push from Integration Report to Bhoomi / J-slip not showing</w:t>
      </w:r>
    </w:p>
    <w:p>
      <w:pPr>
        <w:pStyle w:val="ListBullet"/>
      </w:pPr>
      <w:r>
        <w:rPr>
          <w:rFonts w:ascii="Segoe UI" w:hAnsi="Segoe UI" w:eastAsia="Segoe UI"/>
          <w:b/>
          <w:sz w:val="21"/>
        </w:rPr>
        <w:t xml:space="preserve">23558 / 23977 / 29214 / 30472: </w:t>
      </w:r>
      <w:r>
        <w:rPr>
          <w:rFonts w:ascii="Segoe UI" w:hAnsi="Segoe UI" w:eastAsia="Segoe UI"/>
          <w:b w:val="0"/>
          <w:sz w:val="21"/>
        </w:rPr>
        <w:t>Document not in Integration Report / reconveyance not showing</w:t>
      </w:r>
    </w:p>
    <w:p>
      <w:pPr>
        <w:pStyle w:val="ListBullet"/>
      </w:pPr>
      <w:r>
        <w:rPr>
          <w:rFonts w:ascii="Segoe UI" w:hAnsi="Segoe UI" w:eastAsia="Segoe UI"/>
          <w:b/>
          <w:sz w:val="21"/>
        </w:rPr>
        <w:t xml:space="preserve">28334 / 30496 / 30742: </w:t>
      </w:r>
      <w:r>
        <w:rPr>
          <w:rFonts w:ascii="Segoe UI" w:hAnsi="Segoe UI" w:eastAsia="Segoe UI"/>
          <w:b w:val="0"/>
          <w:sz w:val="21"/>
        </w:rPr>
        <w:t>RDPR ref not received; XML not sent; J-slip upload from Integration Report</w:t>
      </w:r>
    </w:p>
    <w:p>
      <w:pPr>
        <w:pStyle w:val="ListBullet"/>
      </w:pPr>
      <w:r>
        <w:rPr>
          <w:rFonts w:ascii="Segoe UI" w:hAnsi="Segoe UI" w:eastAsia="Segoe UI"/>
          <w:b/>
          <w:sz w:val="21"/>
        </w:rPr>
        <w:t xml:space="preserve">Categorized Bhoomi: </w:t>
      </w:r>
      <w:r>
        <w:rPr>
          <w:rFonts w:ascii="Segoe UI" w:hAnsi="Segoe UI" w:eastAsia="Segoe UI"/>
          <w:b w:val="0"/>
          <w:sz w:val="21"/>
        </w:rPr>
        <w:t>J-slip not generated / partial upload / data not found (large pending counts)</w:t>
      </w:r>
    </w:p>
    <w:p>
      <w:r>
        <w:rPr>
          <w:rFonts w:ascii="Segoe UI" w:hAnsi="Segoe UI" w:eastAsia="Segoe UI"/>
          <w:b/>
          <w:sz w:val="27"/>
        </w:rPr>
        <w:t>5.2 Integration exemption</w:t>
      </w:r>
    </w:p>
    <w:p>
      <w:pPr>
        <w:pStyle w:val="ListBullet"/>
      </w:pPr>
      <w:r>
        <w:rPr>
          <w:rFonts w:ascii="Segoe UI" w:hAnsi="Segoe UI" w:eastAsia="Segoe UI"/>
          <w:b/>
          <w:sz w:val="21"/>
        </w:rPr>
        <w:t xml:space="preserve">31768: </w:t>
      </w:r>
      <w:r>
        <w:rPr>
          <w:rFonts w:ascii="Segoe UI" w:hAnsi="Segoe UI" w:eastAsia="Segoe UI"/>
          <w:b w:val="0"/>
          <w:sz w:val="21"/>
        </w:rPr>
        <w:t>Stamp duty 100% exempted documents — challan reference not showing in receipt details</w:t>
      </w:r>
    </w:p>
    <w:p>
      <w:r>
        <w:rPr>
          <w:rFonts w:ascii="Segoe UI" w:hAnsi="Segoe UI" w:eastAsia="Segoe UI"/>
          <w:b/>
          <w:sz w:val="27"/>
        </w:rPr>
        <w:t>5.3 Court entry</w:t>
      </w:r>
    </w:p>
    <w:p>
      <w:pPr>
        <w:pStyle w:val="ListBullet"/>
      </w:pPr>
      <w:r>
        <w:rPr>
          <w:rFonts w:ascii="Segoe UI" w:hAnsi="Segoe UI" w:eastAsia="Segoe UI"/>
          <w:b/>
          <w:sz w:val="21"/>
        </w:rPr>
        <w:t xml:space="preserve">5184: </w:t>
      </w:r>
      <w:r>
        <w:rPr>
          <w:rFonts w:ascii="Segoe UI" w:hAnsi="Segoe UI" w:eastAsia="Segoe UI"/>
          <w:b w:val="0"/>
          <w:sz w:val="21"/>
        </w:rPr>
        <w:t>Court entry still not reflecting in citizen login after dept entry</w:t>
      </w:r>
    </w:p>
    <w:p>
      <w:pPr>
        <w:pStyle w:val="ListBullet"/>
      </w:pPr>
      <w:r>
        <w:rPr>
          <w:rFonts w:ascii="Segoe UI" w:hAnsi="Segoe UI" w:eastAsia="Segoe UI"/>
          <w:b/>
          <w:sz w:val="21"/>
        </w:rPr>
        <w:t xml:space="preserve">21896: </w:t>
      </w:r>
      <w:r>
        <w:rPr>
          <w:rFonts w:ascii="Segoe UI" w:hAnsi="Segoe UI" w:eastAsia="Segoe UI"/>
          <w:b w:val="0"/>
          <w:sz w:val="21"/>
        </w:rPr>
        <w:t>Court entry to be cancelled</w:t>
      </w:r>
    </w:p>
    <w:p>
      <w:pPr>
        <w:pStyle w:val="ListBullet"/>
      </w:pPr>
      <w:r>
        <w:rPr>
          <w:rFonts w:ascii="Segoe UI" w:hAnsi="Segoe UI" w:eastAsia="Segoe UI"/>
          <w:b/>
          <w:sz w:val="21"/>
        </w:rPr>
        <w:t xml:space="preserve">27219 / 27231: </w:t>
      </w:r>
      <w:r>
        <w:rPr>
          <w:rFonts w:ascii="Segoe UI" w:hAnsi="Segoe UI" w:eastAsia="Segoe UI"/>
          <w:b w:val="0"/>
          <w:sz w:val="21"/>
        </w:rPr>
        <w:t>Court Order Issue</w:t>
      </w:r>
    </w:p>
    <w:p>
      <w:pPr>
        <w:pStyle w:val="ListBullet"/>
      </w:pPr>
      <w:r>
        <w:rPr>
          <w:rFonts w:ascii="Segoe UI" w:hAnsi="Segoe UI" w:eastAsia="Segoe UI"/>
          <w:b/>
          <w:sz w:val="21"/>
        </w:rPr>
        <w:t xml:space="preserve">29744: </w:t>
      </w:r>
      <w:r>
        <w:rPr>
          <w:rFonts w:ascii="Segoe UI" w:hAnsi="Segoe UI" w:eastAsia="Segoe UI"/>
          <w:b w:val="0"/>
          <w:sz w:val="21"/>
        </w:rPr>
        <w:t>Court order Sy. No. mismatch between FDA and SR login</w:t>
      </w:r>
    </w:p>
    <w:p>
      <w:pPr>
        <w:pStyle w:val="ListBullet"/>
      </w:pPr>
      <w:r>
        <w:rPr>
          <w:rFonts w:ascii="Segoe UI" w:hAnsi="Segoe UI" w:eastAsia="Segoe UI"/>
          <w:b/>
          <w:sz w:val="21"/>
        </w:rPr>
        <w:t xml:space="preserve">94903 / 93570…: </w:t>
      </w:r>
      <w:r>
        <w:rPr>
          <w:rFonts w:ascii="Segoe UI" w:hAnsi="Segoe UI" w:eastAsia="Segoe UI"/>
          <w:b w:val="0"/>
          <w:sz w:val="21"/>
        </w:rPr>
        <w:t>OTP / cancel court case failures (Categorized)</w:t>
      </w:r>
    </w:p>
    <w:p>
      <w:r>
        <w:rPr>
          <w:rFonts w:ascii="Segoe UI" w:hAnsi="Segoe UI" w:eastAsia="Segoe UI"/>
          <w:b/>
          <w:sz w:val="27"/>
        </w:rPr>
        <w:t>5.4 Liability</w:t>
      </w:r>
    </w:p>
    <w:p>
      <w:pPr>
        <w:pStyle w:val="ListBullet"/>
      </w:pPr>
      <w:r>
        <w:rPr>
          <w:rFonts w:ascii="Segoe UI" w:hAnsi="Segoe UI" w:eastAsia="Segoe UI"/>
          <w:b/>
          <w:sz w:val="21"/>
        </w:rPr>
        <w:t xml:space="preserve">20687: </w:t>
      </w:r>
      <w:r>
        <w:rPr>
          <w:rFonts w:ascii="Segoe UI" w:hAnsi="Segoe UI" w:eastAsia="Segoe UI"/>
          <w:b w:val="0"/>
          <w:sz w:val="21"/>
        </w:rPr>
        <w:t>Liability Filing issue</w:t>
      </w:r>
    </w:p>
    <w:p>
      <w:pPr>
        <w:pStyle w:val="ListBullet"/>
      </w:pPr>
      <w:r>
        <w:rPr>
          <w:rFonts w:ascii="Segoe UI" w:hAnsi="Segoe UI" w:eastAsia="Segoe UI"/>
          <w:b/>
          <w:sz w:val="21"/>
        </w:rPr>
        <w:t xml:space="preserve">29127: </w:t>
      </w:r>
      <w:r>
        <w:rPr>
          <w:rFonts w:ascii="Segoe UI" w:hAnsi="Segoe UI" w:eastAsia="Segoe UI"/>
          <w:b w:val="0"/>
          <w:sz w:val="21"/>
        </w:rPr>
        <w:t>Liability financial year issue / FY 2015-16 not reflecting in DR login</w:t>
      </w:r>
    </w:p>
    <w:p>
      <w:pPr>
        <w:pStyle w:val="ListBullet"/>
      </w:pPr>
      <w:r>
        <w:rPr>
          <w:rFonts w:ascii="Segoe UI" w:hAnsi="Segoe UI" w:eastAsia="Segoe UI"/>
          <w:b/>
          <w:sz w:val="21"/>
        </w:rPr>
        <w:t xml:space="preserve">29332: </w:t>
      </w:r>
      <w:r>
        <w:rPr>
          <w:rFonts w:ascii="Segoe UI" w:hAnsi="Segoe UI" w:eastAsia="Segoe UI"/>
          <w:b w:val="0"/>
          <w:sz w:val="21"/>
        </w:rPr>
        <w:t>Liability need remove in EC</w:t>
      </w:r>
    </w:p>
    <w:p>
      <w:pPr>
        <w:pStyle w:val="ListBullet"/>
      </w:pPr>
      <w:r>
        <w:rPr>
          <w:rFonts w:ascii="Segoe UI" w:hAnsi="Segoe UI" w:eastAsia="Segoe UI"/>
          <w:b/>
          <w:sz w:val="21"/>
        </w:rPr>
        <w:t xml:space="preserve">30317: </w:t>
      </w:r>
      <w:r>
        <w:rPr>
          <w:rFonts w:ascii="Segoe UI" w:hAnsi="Segoe UI" w:eastAsia="Segoe UI"/>
          <w:b w:val="0"/>
          <w:sz w:val="21"/>
        </w:rPr>
        <w:t>Liability Entry wrongly displaying for different Sy. No. / village</w:t>
      </w:r>
    </w:p>
    <w:p>
      <w:pPr>
        <w:pStyle w:val="ListBullet"/>
      </w:pPr>
      <w:r>
        <w:rPr>
          <w:rFonts w:ascii="Segoe UI" w:hAnsi="Segoe UI" w:eastAsia="Segoe UI"/>
          <w:b/>
          <w:sz w:val="21"/>
        </w:rPr>
        <w:t xml:space="preserve">95242: </w:t>
      </w:r>
      <w:r>
        <w:rPr>
          <w:rFonts w:ascii="Segoe UI" w:hAnsi="Segoe UI" w:eastAsia="Segoe UI"/>
          <w:b w:val="0"/>
          <w:sz w:val="21"/>
        </w:rPr>
        <w:t>Wrong district SRO names while filing Liability Note in DR login</w:t>
      </w:r>
    </w:p>
    <w:p>
      <w:pPr>
        <w:pStyle w:val="ListBullet"/>
      </w:pPr>
      <w:r>
        <w:rPr>
          <w:rFonts w:ascii="Segoe UI" w:hAnsi="Segoe UI" w:eastAsia="Segoe UI"/>
          <w:b/>
          <w:sz w:val="21"/>
        </w:rPr>
        <w:t xml:space="preserve">95253 / 94932…: </w:t>
      </w:r>
      <w:r>
        <w:rPr>
          <w:rFonts w:ascii="Segoe UI" w:hAnsi="Segoe UI" w:eastAsia="Segoe UI"/>
          <w:b w:val="0"/>
          <w:sz w:val="21"/>
        </w:rPr>
        <w:t>Kaveri 1 documents not fetched for Liability Filing</w:t>
      </w:r>
    </w:p>
    <w:p>
      <w:pPr>
        <w:pStyle w:val="ListBullet"/>
      </w:pPr>
      <w:r>
        <w:rPr>
          <w:rFonts w:ascii="Segoe UI" w:hAnsi="Segoe UI" w:eastAsia="Segoe UI"/>
          <w:b/>
          <w:sz w:val="21"/>
        </w:rPr>
        <w:t xml:space="preserve">94109: </w:t>
      </w:r>
      <w:r>
        <w:rPr>
          <w:rFonts w:ascii="Segoe UI" w:hAnsi="Segoe UI" w:eastAsia="Segoe UI"/>
          <w:b w:val="0"/>
          <w:sz w:val="21"/>
        </w:rPr>
        <w:t>Unable to fetch liability data in SR and DR login</w:t>
      </w:r>
    </w:p>
    <w:p/>
    <w:p>
      <w:r>
        <w:rPr>
          <w:rFonts w:ascii="Segoe UI" w:hAnsi="Segoe UI" w:eastAsia="Segoe UI"/>
          <w:b/>
          <w:sz w:val="29"/>
        </w:rPr>
        <w:t>6. User Stories</w:t>
      </w:r>
    </w:p>
    <w:p>
      <w:r>
        <w:rPr>
          <w:rFonts w:ascii="Segoe UI" w:hAnsi="Segoe UI" w:eastAsia="Segoe UI"/>
          <w:b w:val="0"/>
          <w:sz w:val="22"/>
        </w:rPr>
        <w:t>Derived from Schedule Sr.19 Acts, sections, Rules and ServiceDesk (modules #3 Integration, #16 Integration exemption, #17 Court entry, #18 Liability).</w:t>
      </w:r>
    </w:p>
    <w:p/>
    <w:p>
      <w:r>
        <w:rPr>
          <w:rFonts w:ascii="Segoe UI" w:hAnsi="Segoe UI" w:eastAsia="Segoe UI"/>
          <w:b/>
          <w:sz w:val="27"/>
        </w:rPr>
        <w:t>6.1 Integration module</w:t>
      </w:r>
    </w:p>
    <w:p>
      <w:r>
        <w:rPr>
          <w:rFonts w:ascii="Segoe UI" w:hAnsi="Segoe UI" w:eastAsia="Segoe UI"/>
          <w:b/>
          <w:sz w:val="22"/>
        </w:rPr>
        <w:t xml:space="preserve">US-INT-01. </w:t>
      </w:r>
      <w:r>
        <w:rPr>
          <w:rFonts w:ascii="Segoe UI" w:hAnsi="Segoe UI" w:eastAsia="Segoe UI"/>
          <w:b w:val="0"/>
          <w:sz w:val="22"/>
        </w:rPr>
        <w:t>As a Sub-Registrar / DEO, I want to see a registered document in the Integration Report after registration completes and push it to Bhoomi / RDPR (or other configured systems) with correct survey, party and office payloads, so that land-record systems receive a complete J-slip / XML without manual rework.</w:t>
      </w:r>
    </w:p>
    <w:p>
      <w:r>
        <w:rPr>
          <w:rFonts w:ascii="Segoe UI" w:hAnsi="Segoe UI" w:eastAsia="Segoe UI"/>
          <w:b/>
          <w:sz w:val="22"/>
        </w:rPr>
        <w:t xml:space="preserve">US-INT-02. </w:t>
      </w:r>
      <w:r>
        <w:rPr>
          <w:rFonts w:ascii="Segoe UI" w:hAnsi="Segoe UI" w:eastAsia="Segoe UI"/>
          <w:b w:val="0"/>
          <w:sz w:val="22"/>
        </w:rPr>
        <w:t>As a Sub-Registrar / support user, I want to re-push or diagnose a failed / missing Integration Report entry (partial upload, reference number not generated, document not listed), so that stuck integrations can be cleared without data loss.</w:t>
      </w:r>
    </w:p>
    <w:p>
      <w:r>
        <w:rPr>
          <w:rFonts w:ascii="Segoe UI" w:hAnsi="Segoe UI" w:eastAsia="Segoe UI"/>
          <w:b/>
          <w:sz w:val="22"/>
        </w:rPr>
        <w:t xml:space="preserve">US-INT-03. </w:t>
      </w:r>
      <w:r>
        <w:rPr>
          <w:rFonts w:ascii="Segoe UI" w:hAnsi="Segoe UI" w:eastAsia="Segoe UI"/>
          <w:b w:val="0"/>
          <w:sz w:val="22"/>
        </w:rPr>
        <w:t>As a system / integration service, I want to build outbound payloads from the registered Book 1 entry and indexes (Secs. 51, 60–61 pattern) and acknowledge success/failure per target system, so that audit trail shows what was sent and when.</w:t>
      </w:r>
    </w:p>
    <w:p/>
    <w:p>
      <w:r>
        <w:rPr>
          <w:rFonts w:ascii="Segoe UI" w:hAnsi="Segoe UI" w:eastAsia="Segoe UI"/>
          <w:b/>
          <w:sz w:val="27"/>
        </w:rPr>
        <w:t>6.2 Integration exemption</w:t>
      </w:r>
    </w:p>
    <w:p>
      <w:r>
        <w:rPr>
          <w:rFonts w:ascii="Segoe UI" w:hAnsi="Segoe UI" w:eastAsia="Segoe UI"/>
          <w:b/>
          <w:sz w:val="22"/>
        </w:rPr>
        <w:t xml:space="preserve">US-IEX-01. </w:t>
      </w:r>
      <w:r>
        <w:rPr>
          <w:rFonts w:ascii="Segoe UI" w:hAnsi="Segoe UI" w:eastAsia="Segoe UI"/>
          <w:b w:val="0"/>
          <w:sz w:val="22"/>
        </w:rPr>
        <w:t>As an Application Admin / Domain Expert, I want to maintain an Integration exemption master (deed type / article / Sec. 90 class / stamp-exempt class) so selected registrations skip external push, so that exempt instruments do not clog Integration Report or fail on missing challan data.</w:t>
      </w:r>
    </w:p>
    <w:p>
      <w:r>
        <w:rPr>
          <w:rFonts w:ascii="Segoe UI" w:hAnsi="Segoe UI" w:eastAsia="Segoe UI"/>
          <w:b/>
          <w:sz w:val="22"/>
        </w:rPr>
        <w:t xml:space="preserve">US-IEX-02. </w:t>
      </w:r>
      <w:r>
        <w:rPr>
          <w:rFonts w:ascii="Segoe UI" w:hAnsi="Segoe UI" w:eastAsia="Segoe UI"/>
          <w:b w:val="0"/>
          <w:sz w:val="22"/>
        </w:rPr>
        <w:t>As a Sub-Registrar / citizen, I want to complete registration of a 100% stamp-duty exempt document with clear receipt details and without false challan / integration errors, so that exempt flows finish cleanly (ServiceDesk 31768 class of issues).</w:t>
      </w:r>
    </w:p>
    <w:p/>
    <w:p>
      <w:r>
        <w:rPr>
          <w:rFonts w:ascii="Segoe UI" w:hAnsi="Segoe UI" w:eastAsia="Segoe UI"/>
          <w:b/>
          <w:sz w:val="27"/>
        </w:rPr>
        <w:t>6.3 Court entry</w:t>
      </w:r>
    </w:p>
    <w:p>
      <w:r>
        <w:rPr>
          <w:rFonts w:ascii="Segoe UI" w:hAnsi="Segoe UI" w:eastAsia="Segoe UI"/>
          <w:b/>
          <w:sz w:val="22"/>
        </w:rPr>
        <w:t xml:space="preserve">US-CRT-01. </w:t>
      </w:r>
      <w:r>
        <w:rPr>
          <w:rFonts w:ascii="Segoe UI" w:hAnsi="Segoe UI" w:eastAsia="Segoe UI"/>
          <w:b w:val="0"/>
          <w:sz w:val="22"/>
        </w:rPr>
        <w:t>As a Court / departmental user, I want to enter or file a Court sale certificate / Court order under Sec. 89(2) and Rule 17 so it is stored in the correct Book 1 supplement, so that the Court entry is searchable and linked to the right property.</w:t>
      </w:r>
    </w:p>
    <w:p>
      <w:r>
        <w:rPr>
          <w:rFonts w:ascii="Segoe UI" w:hAnsi="Segoe UI" w:eastAsia="Segoe UI"/>
          <w:b/>
          <w:sz w:val="22"/>
        </w:rPr>
        <w:t xml:space="preserve">US-CRT-02. </w:t>
      </w:r>
      <w:r>
        <w:rPr>
          <w:rFonts w:ascii="Segoe UI" w:hAnsi="Segoe UI" w:eastAsia="Segoe UI"/>
          <w:b w:val="0"/>
          <w:sz w:val="22"/>
        </w:rPr>
        <w:t>As a Sub-Registrar / FDA, I want to capture Court order property particulars (survey, village, parties) once so the same data appears consistently in citizen and SR logins, so that citizens see the Court entry and wrong Sy. No. mismatches are avoided.</w:t>
      </w:r>
    </w:p>
    <w:p>
      <w:r>
        <w:rPr>
          <w:rFonts w:ascii="Segoe UI" w:hAnsi="Segoe UI" w:eastAsia="Segoe UI"/>
          <w:b/>
          <w:sz w:val="22"/>
        </w:rPr>
        <w:t xml:space="preserve">US-CRT-03. </w:t>
      </w:r>
      <w:r>
        <w:rPr>
          <w:rFonts w:ascii="Segoe UI" w:hAnsi="Segoe UI" w:eastAsia="Segoe UI"/>
          <w:b w:val="0"/>
          <w:sz w:val="22"/>
        </w:rPr>
        <w:t>As a Sub-Registrar, I want to cancel or correct a Court entry when authorised, with OTP / audit where required, so that erroneous Court entries do not remain visible on citizen search.</w:t>
      </w:r>
    </w:p>
    <w:p>
      <w:r>
        <w:rPr>
          <w:rFonts w:ascii="Segoe UI" w:hAnsi="Segoe UI" w:eastAsia="Segoe UI"/>
          <w:b/>
          <w:sz w:val="22"/>
        </w:rPr>
        <w:t xml:space="preserve">US-CRT-04. </w:t>
      </w:r>
      <w:r>
        <w:rPr>
          <w:rFonts w:ascii="Segoe UI" w:hAnsi="Segoe UI" w:eastAsia="Segoe UI"/>
          <w:b w:val="0"/>
          <w:sz w:val="22"/>
        </w:rPr>
        <w:t>As a citizen / presentant, I want to re-present a document for registration when a Court (or Registrar) has ordered registration under Rules 184 / 188, so that Court-directed registration completes with the correct endorsement.</w:t>
      </w:r>
    </w:p>
    <w:p/>
    <w:p>
      <w:r>
        <w:rPr>
          <w:rFonts w:ascii="Segoe UI" w:hAnsi="Segoe UI" w:eastAsia="Segoe UI"/>
          <w:b/>
          <w:sz w:val="27"/>
        </w:rPr>
        <w:t>6.4 Liability</w:t>
      </w:r>
    </w:p>
    <w:p>
      <w:r>
        <w:rPr>
          <w:rFonts w:ascii="Segoe UI" w:hAnsi="Segoe UI" w:eastAsia="Segoe UI"/>
          <w:b/>
          <w:sz w:val="22"/>
        </w:rPr>
        <w:t xml:space="preserve">US-LIA-01. </w:t>
      </w:r>
      <w:r>
        <w:rPr>
          <w:rFonts w:ascii="Segoe UI" w:hAnsi="Segoe UI" w:eastAsia="Segoe UI"/>
          <w:b w:val="0"/>
          <w:sz w:val="22"/>
        </w:rPr>
        <w:t>As a District Registrar, I want to file a Liability note / order against the correct district, SRO, village and survey number for a chosen financial year, so that the liability attaches only to the intended property.</w:t>
      </w:r>
    </w:p>
    <w:p>
      <w:r>
        <w:rPr>
          <w:rFonts w:ascii="Segoe UI" w:hAnsi="Segoe UI" w:eastAsia="Segoe UI"/>
          <w:b/>
          <w:sz w:val="22"/>
        </w:rPr>
        <w:t xml:space="preserve">US-LIA-02. </w:t>
      </w:r>
      <w:r>
        <w:rPr>
          <w:rFonts w:ascii="Segoe UI" w:hAnsi="Segoe UI" w:eastAsia="Segoe UI"/>
          <w:b w:val="0"/>
          <w:sz w:val="22"/>
        </w:rPr>
        <w:t>As a Sub-Registrar / citizen (EC user), I want to see active Liability filings on Certificate of encumbrance / property search (Rules 148–154) and not see removed or wrong-property liabilities, so that EC reflects true departmental liability status.</w:t>
      </w:r>
    </w:p>
    <w:p>
      <w:r>
        <w:rPr>
          <w:rFonts w:ascii="Segoe UI" w:hAnsi="Segoe UI" w:eastAsia="Segoe UI"/>
          <w:b/>
          <w:sz w:val="22"/>
        </w:rPr>
        <w:t xml:space="preserve">US-LIA-03. </w:t>
      </w:r>
      <w:r>
        <w:rPr>
          <w:rFonts w:ascii="Segoe UI" w:hAnsi="Segoe UI" w:eastAsia="Segoe UI"/>
          <w:b w:val="0"/>
          <w:sz w:val="22"/>
        </w:rPr>
        <w:t>As a District Registrar / Sub-Registrar, I want to search Liability by document number or property number, including legacy Kaveri 1 records, and remove or correct a wrongly filed liability, so that FY / jurisdiction / fetch failures do not block liability maintenance.</w:t>
      </w:r>
    </w:p>
    <w:p/>
    <w:p>
      <w:r>
        <w:rPr>
          <w:rFonts w:ascii="Segoe UI" w:hAnsi="Segoe UI" w:eastAsia="Segoe UI"/>
          <w:b/>
          <w:sz w:val="27"/>
        </w:rPr>
        <w:t xml:space="preserve">Note: </w:t>
      </w:r>
      <w:r>
        <w:rPr>
          <w:rFonts w:ascii="Segoe UI" w:hAnsi="Segoe UI" w:eastAsia="Segoe UI"/>
          <w:b w:val="0"/>
          <w:sz w:val="27"/>
        </w:rPr>
        <w:t>Schedule mapping — Integration module #3; Integration exemption #16; Court entry #17; Liability (modules list spelling “Liabality”) #18 — all under Sr.19. Integration push to Bhoomi/RDPR is largely departmental/technical; statutory anchors are Secs. 64–67 (outbound memo pattern) and post–Sec. 60 completion. Confirm with Domain Expert (1) the authoritative exemption matrix for Integration exemption, and (2) the exact legal instrument governing Liability Filing beyond EC practice under Rules 148–154. FRUITS bank e-filing remains primarily Sr.16 / Rule 17 Part IV–V.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