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sz w:val="32"/>
        </w:rPr>
        <w:t>BR Discussion Prep Pack — Stamp Duty, Registration Fee &amp; Guideline Value</w:t>
      </w:r>
    </w:p>
    <w:p>
      <w:pPr>
        <w:spacing w:after="80"/>
      </w:pPr>
      <w:r>
        <w:rPr>
          <w:rFonts w:ascii="Calibri" w:hAnsi="Calibri" w:eastAsia="Calibri"/>
          <w:b/>
          <w:sz w:val="24"/>
        </w:rPr>
        <w:t>Kaveri 3.0 Requirements Discussion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Discussion date: 28 August 2026  |  Schedule Sr. 13  |  Version 1.0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Purpose: Brief the committee for Day-1 of Stamp duty / Registration fee / Guideline value discussions with (a) today’s scheduled discussion points, (b) current Kaveri 2.0 pain points evidenced from ServiceDesk, (c) governing Acts &amp; Rules from Acts_Rules/Document, and (d) focused decision questions for Kaveri 3.0.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type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 Discussion Prep Pack (Agenda + Prerequisites + Inputs)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Module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 — Stamp duty &amp; Registration fee; Guideline value (Schedule Sr. 13)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Planned dates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Sr.13: 28-08-2026 to 29-08-2026 (2 working days)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Today’s focus (28-Aug)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 engine walkthrough; article/sub-article mapping; guideline value lookup; rural/urban rate logic; payment–fee reconciliation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Sub-modules (Modules list)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#4 Stamp duty and Registration fee calculation, #5 Guideline value calculation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Primary inputs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ServiceDeskIssuesList.xlsx; Acts_Rules/Document (Karnataka Stamp Act 1957 + Schedule + Rules; Registration Act fee provisions; CVC Rules 2003)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Attendees (per programme plan)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Committee members, AIGR Comp, Kaveri IT Cell, KPMU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Prior progress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Sr.12 Document Registration core discussed 25–27 Aug 2026; Sr.9 Marriage BRD in progress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 (DSR track)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DSR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Next session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Sr.14 Valuation Module (CVC) &amp; GIS valuation — 31-Aug to 01-Sep 2026</w:t>
            </w:r>
          </w:p>
        </w:tc>
      </w:tr>
    </w:tbl>
    <w:p/>
    <w:p>
      <w:pPr>
        <w:pStyle w:val="Heading1"/>
      </w:pPr>
      <w:r>
        <w:t>0. Prerequisites before starting the discussion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Complete / confirm the following before the 28-Aug session starts: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Circulate this Prep Pack + Karnataka Stamp Act 1957 Schedule (2022), Karnataka Stamps Rules 1958, e-Stamping Rules 2009, and Prevention of Undervaluation Rules as pre-read.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Bring live Kaveri 2.0 screens for: citizen Valuate → fee break-up → payment; SR/DEO fee override / send-back for revaluation; 10A / challan / receipt generation.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Prepare sample deeds: Sale (urban + rural), Gift, Partition (multi-schedule), Mortgage, Lease — with known correct stamp duty + registration fee per field SR confirmation.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current guideline value master source (CVC publication cycle, village/road/rate tables) and who maintains it (KPMU / CVC / IT).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Confirm integration points: e-Stamp / franking / challan; whether fees are recalculated on property edit, party edit, or schedule add/remove.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Park full CVC committee workflow and GIS valuation for Sr.14 unless they block fee calculation today.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Agree meeting outputs: fee-calculation rules matrix, guideline value data model, decisions log, and BRD section outline.</w:t>
      </w:r>
    </w:p>
    <w:p>
      <w:pPr>
        <w:pStyle w:val="Heading1"/>
      </w:pPr>
      <w:r>
        <w:t>1. Today’s discussion points (28 August 2026)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Source: Requirement Discussions/Schedule/Kaveri_Requirements_Updated_Schedule_v3_DocumentSubModules.xlsx — Revised Schedule &amp; Planning Notes.</w:t>
      </w:r>
    </w:p>
    <w:p>
      <w:pPr>
        <w:pStyle w:val="Heading2"/>
      </w:pPr>
      <w:r>
        <w:t>1.1 Scheduled item for today (Sr.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Sr.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Discussion topic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Duration / window</w:t>
            </w:r>
          </w:p>
        </w:tc>
        <w:tc>
          <w:tcPr>
            <w:tcW w:type="dxa" w:w="168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Modules list ref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Stamp duty and Registration fee calculation; Guideline value calculation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DSR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days — 28-08 to 29-08-2026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Sub-modules #4, #5</w:t>
            </w:r>
          </w:p>
        </w:tc>
      </w:tr>
    </w:tbl>
    <w:p/>
    <w:p>
      <w:pPr>
        <w:pStyle w:val="Heading2"/>
      </w:pPr>
      <w:r>
        <w:t>1.2 Recommended Day-1 (28-Aug) scope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What to cover today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Defer to 29-Aug if needed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Stamp duty engine (#4)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Article / sub-article selection; schedule-wise duty; concessions; composite instruments; e-stamp vs manual stamp path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Edge articles (POA, settlement, court orders); amendment effective-date handling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fee (#4)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fee rules; copying/scanning fee components; fine/penalty linkage; refund on withdraw (Rules Ch. XXVI)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Concurrent audit fee splits; FRUITS-specific fee (Sr.16)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 value (#5)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Lookup by village/road/property type; building rate tables (rural vs TMC/CMC); market value vs document value; undervaluation flag threshold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CVC publication workflow (Sr.14); GIS overlay (Sr.14)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↔ fee reconciliation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Citizen summary vs paid amount; revaluation send-back; zero-fee disablement; challan/10A on endorsement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gateway defects (unless blocking fee calc)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Current issues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ServiceDesk themes FEES-PP-01…12; validate with IT Cell / field SR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DRO undervaluation adjudication process (Sr.22)</w:t>
            </w:r>
          </w:p>
        </w:tc>
      </w:tr>
    </w:tbl>
    <w:p/>
    <w:p>
      <w:pPr>
        <w:pStyle w:val="Heading2"/>
      </w:pPr>
      <w:r>
        <w:t>1.3 Out of scope for Sr.13 (park explicitly)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Valuation Module (CVC) operational workflow and GIS valuation (Sr.14 — 31-Aug onward).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DRO undervaluation, deposit of will, adjudication (Sr.22).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Rule 17(2)/17(3) filing specifics (Sr.15) — only touch if fee recalculation depends on Rule 17 path.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Full e-Stamp template design module (Sr.25) — today covers fee calculation integration with e-stamp, not all instrument templates.</w:t>
      </w:r>
    </w:p>
    <w:p>
      <w:pPr>
        <w:pStyle w:val="Heading1"/>
      </w:pPr>
      <w:r>
        <w:t>2. Pain points in the current Kaveri 2.0 system (Stamp duty / Fees / Guideline value)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Evidence: Requirement Discussions/ServiceDesk Issues/ServiceDeskIssuesList.xlsx — Categorized sheet (Fees calculation issue category: 74 pending tickets at category level; curated sub-themes below) and OverallList. Related endorsement/receipt/payment themes included where they indicate fee-calculation or display failures.</w:t>
      </w:r>
    </w:p>
    <w:p>
      <w:pPr>
        <w:pStyle w:val="Heading2"/>
      </w:pPr>
      <w:r>
        <w:t>2.1 Priority pain points (discussion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References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Why it matters for Sr.13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Unable to calculate Stamp duty and Registration fee (valuation returns zero; Save &amp; Continue disabled)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Categorized: 23369, 28596; OverallList: 23369 (Rectification Deed — SRO login)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fee engine failure — blocks entire registration path after property entry.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Citizen paid amount ≠ summary total (large mismatch)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Categorized: 17517 — paid ₹9,34,789 but summary shows ₹5,32,089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ledger and fee break-up not reconciled; legal and audit risk.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Rural property building rates calculated using TMC/CMC (urban) rates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Categorized: 93332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 value / rate-table jurisdiction logic wrong (#5).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Partition deed — per-schedule stamp duty wrong (e.g. 3 schedules × ₹1000 expected; system charges ₹5000 once)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Categorized: 31257 (sub-article 39-b agricultural land partition)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Schedule-wise article rule not applied; multi-schedule aggregation defect.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Gift deed — stamp duty double-count or wrong amount vs SR confirmation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Categorized: 93306 (SR says ₹11,300; citizen login ₹22,600; pending 1)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Article/concession/recipient relationship rules miscalculated.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 calculation shows zero in document summary / endorsement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Document Summary: 26292; Endorsement: 28754, 58164 (10A lease stamp duty 0 instead of ₹1000)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Downstream artefacts do not reflect computed fees — registration cannot proceed credibly.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Consideration / market value not reflecting in EC/summary after registration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EC theme: 92270, 26752; OverallList: 18690 (market valuation wrong in EC)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Guideline/market value used for duty not propagated to summary/EC interfaces.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Send-back for revaluation / undervaluation data fetch failures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OverallList: 23242 (revaluation withdraw), 25098 (undervaluation data fetching issue)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Revaluation loop when guideline value or declared value disputed is broken.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10A receipt / challan display errors (wrong office details; generation failure)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Other Receipt: 24913 (DR vs SR 10A fields); 28643 (something went wrong); OverallList: 16080 (challan not in receipt)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Proof of stamp duty payment incorrect or missing on statutory receipt.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Unable to pay fee / submit application from citizen login after valuation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OverallList: 26298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 calc → payment handoff broken.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Pending 45A / undervaluation cases stuck in fee workflow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Pending document Registration: 93336, 93031, 92988, 92986, 92960, 27936, 25710, 25477, 26891 (pending 6)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Undervaluation path blocks fee finalisation — needs clear state model with Sr.22.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completed but status still Make Payment / payable amount ₹0 on send-back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Categorized → Payment: 92384, 88309; Firm-related: 95036, 94900 (pattern applies to doc reg too)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payment–status engine affects fee re-run after SR send-back.</w:t>
            </w:r>
          </w:p>
        </w:tc>
      </w:tr>
    </w:tbl>
    <w:p/>
    <w:p>
      <w:pPr>
        <w:pStyle w:val="Heading2"/>
      </w:pPr>
      <w:r>
        <w:t>2.2 Observation for the committee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Fees calculation is a top-volume ServiceDesk category (74 pending at category level) — defects are not edge cases; they affect everyday Sale/Gift/Partition flows.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Failures cluster into three root causes: (1) guideline value / rate-table lookup, (2) article/sub-article/schedule rule engine, (3) payment–summary reconciliation.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Endorsement and 10A receipt issues (FEES-PP-06/09) show fee outputs are not a single source of truth across citizen summary, payment, and SRO artefacts.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Undervaluation (45A) cases overlap Sr.13 and Sr.22 — agree today how fee engine flags undervaluation vs how DRO adjudicates.</w:t>
      </w:r>
    </w:p>
    <w:p>
      <w:pPr>
        <w:pStyle w:val="Heading1"/>
      </w:pPr>
      <w:r>
        <w:t>3. Governing Acts &amp; Rules (from Acts_Rules/Document)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Use during walkthrough to ensure Kaveri 3.0 fee and guideline value logic is traceable to statute — not only to legacy K2 hard-coding.</w:t>
      </w:r>
    </w:p>
    <w:p>
      <w:pPr>
        <w:pStyle w:val="Heading2"/>
      </w:pPr>
      <w:r>
        <w:t>3.1 Primary statutes &amp; rules for Sr.13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File (Acts_Rules/Document)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Relevance to today’s topics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Stamp Act, 1957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STAMP ACT 1957.pdf (+ Amendment Acts 2011–2014)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Ch. II stamp duties; Schedule (duty by instrument/article); s.2 defs (conveyance, partition, chargeable, duly stamped); s.45-A prevention of undervaluation; s.45-B Central Valuation Committee; Ch. III adjudication; Ch. IV instruments not duly stamped.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Act Schedule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Act 1957 Schedule 2022.pdf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Authoritative article/sub-article duty rates — must drive fee engine master (#4).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Stamps Rules, 1958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Stamps Rules 1958.pdf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Procedure for impressed stamps, adjudication, allowances; supports e-stamp/franking integration.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(Payment of Duty by e-Stamping) Rules, 2009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STAMP- Payment of Stamp Duty by means of e-Stamping.pdf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e-Stamp definition, CRA/ACC, stamp duty payment channel — fee engine must align paid e-stamp with computed duty.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(Prevention of Undervaluation) Rules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Referenced in CVC Rules 2003 doc / undervaluation rules in folder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Market value statement (Form I); difference % triggers undervaluation process — links guideline value (#5) to duty (#4).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CVC Rules, 2003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(Constitution of Central Valuation Committee…) Rules, 2003.docx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Estimation, publication, revision of market value guidelines — master data source for guideline value (#5).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Instruments governed (reference schedule)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INSTRUMENTS GOVERNED BY THE STAMP ACT 1899.docx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Cross-check instrument types vs Karnataka Schedule mapping in product.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Registration Act, 1908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the_registration_act,_1908.pdf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s.78–80 registration fees; presentation only after proper stamp (with Stamp Act).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Registration Rules, 1965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 Karnataka Registration Rules 1965.pdf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R.47 payment of proper stamp duty; R.46 suspension if not duly stamped; Ch. XXVI (Rr.192–193) fee determination, overcharge refund, withdraw fee refund.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(Franking) Rules, 2000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(Franking Impression Of Stamps) Rules, 2000.docx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Alternate stamp payment path — fee engine must handle franking impression validation.</w:t>
            </w:r>
          </w:p>
        </w:tc>
      </w:tr>
    </w:tbl>
    <w:p/>
    <w:p>
      <w:pPr>
        <w:pStyle w:val="Heading2"/>
      </w:pPr>
      <w:r>
        <w:t>3.2 Statutory anchors for today’s two sub-modules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Sub-module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Legal anchors to verify in walkthrough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System implication for 3.0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#4 Stamp duty &amp; Registration fee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Karnataka Stamp Act Schedule + Ch. II; Registration Act s.78–80; Karnataka Registration Rules R.47, R.46, Ch. XXVI; e-Stamping Rules 2009; Franking Rules 2000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Single fee engine: compute duty by article/sub-article/schedule → add registration/copying/scanning fees → validate against paid stamp (e-stamp/franking/challan) → expose immutable break-up to summary, endorsement, 10A, payment.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#5 Guideline value calculation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Stamp Act s.45-A, s.45-B; CVC Rules 2003; Prevention of Undervaluation Rules (market value statement); Schedule rate tables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 value service: village/road/property-type/building-rate lookup; rural vs urban classification; market value vs declared consideration; undervaluation flag with % difference; versioned CVC publication date on calculation.</w:t>
            </w:r>
          </w:p>
        </w:tc>
      </w:tr>
    </w:tbl>
    <w:p/>
    <w:p>
      <w:pPr>
        <w:pStyle w:val="Heading2"/>
      </w:pPr>
      <w:r>
        <w:t>3.3 Legal compliance checks (ask DSR / Law / CVC during session)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Is computed stamp duty always based on higher of consideration and guideline/market value per s.45-A framework?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When document is not duly stamped, does system enforce R.46 suspension before registration proceeds?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Are registration fees determined per R.192 with refund path for overcharge and withdraw per R.193?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Does 10A / challan always show duty break-up matching Stamp Act Schedule article?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How is CVC-published guideline value version pinned on each calculation for audit (date of publication / effective date)?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For partition (instrument of partition def. s.2(k)), is duty per share/schedule per Schedule article — not flat per document?</w:t>
      </w:r>
    </w:p>
    <w:p>
      <w:pPr>
        <w:pStyle w:val="Heading1"/>
      </w:pPr>
      <w:r>
        <w:t>4. Discussion agenda — 28 August 2026</w:t>
      </w:r>
    </w:p>
    <w:p>
      <w:pPr>
        <w:pStyle w:val="Heading2"/>
      </w:pPr>
      <w:r>
        <w:t>4.1 Suggested session flow (DSR track)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Time (indicative)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0–15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Prerequisites; confirm Sr.13 Day-1 scope; park Sr.14 CVC/GIS depth.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15–50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As-is fee walkthrough: property → valuate → article selection → fee break-up → pay → SR view → endorsement/10A.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50–85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Walk FEES-PP-01…12; reproduce Partition + Gift + Rural building rate examples live.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85–115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 value master: village/road/rate tables, CVC publication, rural/urban; map to Act/Rules §3.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115–130 min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Close/park DQ-01…DQ-12; agree 29-Aug backlog (edge articles, undervaluation handoff, e-stamp integration detail).</w:t>
            </w:r>
          </w:p>
        </w:tc>
      </w:tr>
    </w:tbl>
    <w:p/>
    <w:p>
      <w:pPr>
        <w:pStyle w:val="Heading2"/>
      </w:pPr>
      <w:r>
        <w:t>4.2 Decision questions (must close or park with 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DQ#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Discussion point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Options / notes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Single fee engine vs separate stamp-duty and registration-fee services?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Monolith module / microservices with shared break-up DTO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Guideline value master ownership and publication cadence?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CVC publishes → Kaveri imports; who approves emergency rate change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Rural vs urban / TMC/CMC rate selection rules?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Must fix FEES-PP-03; define hierarchy when boundaries overlap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Multi-schedule instruments: per-schedule vs per-document duty?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Partition FEES-PP-04; define aggregation rules in BRD matrix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DQ-05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Revaluation / send-back: recalc fees automatically or SR manual override?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 trail for override; citizen re-pay delta only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Undervaluation (45A) threshold and workflow entry point?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Flag in fee engine vs separate DRO module (Sr.22)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DQ-07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e-Stamp / franking / manual stamp: how does engine validate paid duty?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Integration with Sr.25; mismatch handling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DQ-08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fee components (copying, scanning, fine) — bundled or itemised?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Citizen summary line items; endorsement must match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DQ-09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Versioning: store Schedule article version + CVC rate version on each calculation?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Required for audit and dispute resolution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SR/DEO override privileges for fee correction — who, when, maker-checker?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Gift deed FEES-PP-05 type corrections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Payment–summary reconciliation rules when amounts differ?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Block registration / auto-refund / manual settlement — FEES-PP-02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DQ-12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10A / challan / endorsement fee display — single source of truth?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FEES-PP-06/09; no zero-fee silent pass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Pain point → legal / process mapping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Use to classify defects as calculation rule gaps, master data gaps, or integration/display bugs.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Legal / process anchor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Proposed 3.0 discussion stance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FEES-PP-01 Zero fee / cannot valuate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Schedule duty + R.47 proper stamp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Fail-fast with explicit rule-id; never disable Save with silent zero.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FEES-PP-02 Paid ≠ summary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R.192 fee determination; payment before presentation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One ledger; summary reads paid + computed delta.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FEES-PP-03 Rural vs urban rates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CVC guideline publication; property classification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Explicit jurisdiction flag on property; test matrix.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FEES-PP-04 Partition schedules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s.2(k) instrument of partition; Schedule article 39-b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Per-schedule duty rules in engine; unit tests per article.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FEES-PP-05 Gift duty wrong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Schedule gift article + concessions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Rule matrix by relationship/sub-article; SR override logged.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FEES-PP-06 Zero in summary/endorsement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R.45 endorsement; Ch. XVI Rules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 break-up object passed to all downstream docs.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FEES-PP-07 Consideration in EC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Market value for duty; EC display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Persist computed market value on registration record.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FEES-PP-08 Revaluation loop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s.45-A undervaluation; R.193 withdraw/refund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State: Revaluation requested → fee unlocked → re-pay.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FEES-PP-09 10A/challan errors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e-Stamp Rules; Franking Rules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Template per office type; validate before print.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FEES-PP-10 Pay after valuate blocked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s.80 fees on presentation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Payment only after successful non-zero valuation.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FEES-PP-11 45A pending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s.45-A; DRO undervaluation (Sr.22)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Flag + queue; do not complete registration until cleared.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FEES-PP-12 Payment status desync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with Sr.12 status model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Re-run fee engine invalidates stale payment token.</w:t>
            </w:r>
          </w:p>
        </w:tc>
      </w:tr>
    </w:tbl>
    <w:p/>
    <w:p>
      <w:pPr>
        <w:pStyle w:val="Heading1"/>
      </w:pPr>
      <w:r>
        <w:t>6. Expected outputs of 28 &amp; 29 August (Sr.13 window)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Fee calculation rules matrix: instrument → article → sub-article → schedule rules → concessions (with Schedule citations).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Guideline value data model: masters, versioning, rural/urban, building rates, effective dates.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Agreed undervaluation flag threshold and handoff to DRO (Sr.22) vs in-engine resolution.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Decision log for DQ-01…DQ-12.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Prioritised defect list FEES-PP-01…12 tagged Bug / Rule gap / Master data / Integration.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BRD section outline: Fee Engine, Guideline Value Service, Payment reconciliation, Statutory artefacts (10A/endorsement).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Test case pack: Sale, Gift, Partition (multi-schedule), Rural building, Rectification deed, 45A pending.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20"/>
        </w:rPr>
        <w:t>Handoff note to Sr.14 (CVC/GIS) for publication workflow and spatial valuation.</w:t>
      </w:r>
    </w:p>
    <w:p>
      <w:pPr>
        <w:pStyle w:val="Heading1"/>
      </w:pPr>
      <w:r>
        <w:t>7. References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Discussions/Schedule/Kaveri_Requirements_Updated_Schedule_v3_DocumentSubModules.xlsx — Sr.13; Planning Notes; Sub-modules #4, #5.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Discussions/ServiceDesk Issues/ServiceDeskIssuesList.xlsx — Categorized (Fees calculation issue) + OverallList.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 KARNATAKA STAMP ACT 1957.pdf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Acts_Rules/Document/Karnataka Stamp Act 1957 Schedule 2022.pdf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Acts_Rules/Document/Karnataka Stamps Rules 1958.pdf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 KARNATAKA STAMP- Payment of Stamp Duty by means of e-Stamping.pdf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Acts_Rules/Document/Karnataka Stamp (Franking Impression Of Stamps) Rules, 2000.docx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Acts_Rules/Document/Karnataka Stamp (Constitution of Central Valuation Committee…) Rules, 2003.docx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Acts_Rules/Document/INSTRUMENTS GOVERNED BY THE STAMP ACT 1899.docx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Acts_Rules/Document/the_registration_act,_1908.pdf (ss.78–80)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Acts_Rules/Document/The Karnataka Registration Rules 1965.pdf (R.47, R.46, Ch. XXVI)</w:t>
      </w:r>
    </w:p>
    <w:p>
      <w:pPr>
        <w:pStyle w:val="ListBullet"/>
        <w:spacing w:after="120"/>
      </w:pPr>
      <w:r>
        <w:rPr>
          <w:rFonts w:ascii="Calibri" w:hAnsi="Calibri" w:eastAsia="Calibri"/>
          <w:b w:val="0"/>
          <w:sz w:val="18"/>
        </w:rPr>
        <w:t>Requirement Discussions/BR_Discussion_Prep_Pack_Document_Registration_Core_25Aug2026.docx — prior Sr.12 registration flow dependency.</w:t>
      </w:r>
    </w:p>
    <w:p>
      <w:pPr>
        <w:pStyle w:val="Heading1"/>
      </w:pPr>
      <w:r>
        <w:t>8.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28-Aug-2026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 / KPMU prep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Initial Prep Pack for 28-Aug Stamp duty, Registration fee &amp; Guideline value (Sr.13): schedule + ServiceDesk + Acts/Rules + agenda/DQs.</w:t>
            </w:r>
          </w:p>
        </w:tc>
      </w:tr>
    </w:tbl>
    <w:p/>
    <w:p>
      <w:r>
        <w:rPr>
          <w:rFonts w:ascii="Calibri" w:hAnsi="Calibri" w:eastAsia="Calibri"/>
          <w:b/>
          <w:sz w:val="18"/>
        </w:rPr>
        <w:t>— End of Prep Pack —  For discussion use on 28 August 2026; update Decision column live in session —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