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t>Business Requirements Document (BRD)</w:t>
      </w:r>
    </w:p>
    <w:p>
      <w:pPr>
        <w:pStyle w:val="Heading1"/>
      </w:pPr>
      <w:r>
        <w:t>Guideline Value Calculation and GIS Valuation</w:t>
      </w:r>
    </w:p>
    <w:tbl>
      <w:tblPr>
        <w:tblStyle w:val="TableGrid"/>
        <w:tblW w:type="auto" w:w="0"/>
        <w:tblLook w:firstColumn="1" w:firstRow="1" w:lastColumn="0" w:lastRow="0" w:noHBand="0" w:noVBand="1" w:val="04A0"/>
      </w:tblPr>
      <w:tblGrid>
        <w:gridCol w:w="5112"/>
        <w:gridCol w:w="5112"/>
      </w:tblGrid>
      <w:tr>
        <w:tc>
          <w:tcPr>
            <w:tcW w:type="dxa" w:w="2592"/>
            <w:shd w:val="clear" w:color="auto" w:fill="D9E2F3"/>
          </w:tcPr>
          <w:p>
            <w:pPr>
              <w:spacing w:after="0"/>
            </w:pPr>
            <w:r/>
            <w:r>
              <w:rPr>
                <w:b/>
                <w:sz w:val="18"/>
              </w:rPr>
              <w:t>Field</w:t>
            </w:r>
          </w:p>
        </w:tc>
        <w:tc>
          <w:tcPr>
            <w:tcW w:type="dxa" w:w="6768"/>
            <w:shd w:val="clear" w:color="auto" w:fill="D9E2F3"/>
          </w:tcPr>
          <w:p>
            <w:pPr>
              <w:spacing w:after="0"/>
            </w:pPr>
            <w:r/>
            <w:r>
              <w:rPr>
                <w:b/>
                <w:sz w:val="18"/>
              </w:rPr>
              <w:t>Value</w:t>
            </w:r>
          </w:p>
        </w:tc>
      </w:tr>
      <w:tr>
        <w:tc>
          <w:tcPr>
            <w:tcW w:type="dxa" w:w="2592"/>
          </w:tcPr>
          <w:p>
            <w:pPr>
              <w:spacing w:after="0"/>
            </w:pPr>
            <w:r/>
            <w:r>
              <w:rPr>
                <w:b w:val="0"/>
                <w:sz w:val="18"/>
              </w:rPr>
              <w:t>Document ID</w:t>
            </w:r>
          </w:p>
        </w:tc>
        <w:tc>
          <w:tcPr>
            <w:tcW w:type="dxa" w:w="6768"/>
          </w:tcPr>
          <w:p>
            <w:pPr>
              <w:spacing w:after="0"/>
            </w:pPr>
            <w:r/>
            <w:r>
              <w:rPr>
                <w:b w:val="0"/>
                <w:sz w:val="18"/>
              </w:rPr>
              <w:t>BRD-K3-GVC-GIS-001</w:t>
            </w:r>
          </w:p>
        </w:tc>
      </w:tr>
      <w:tr>
        <w:tc>
          <w:tcPr>
            <w:tcW w:type="dxa" w:w="2592"/>
          </w:tcPr>
          <w:p>
            <w:pPr>
              <w:spacing w:after="0"/>
            </w:pPr>
            <w:r/>
            <w:r>
              <w:rPr>
                <w:b w:val="0"/>
                <w:sz w:val="18"/>
              </w:rPr>
              <w:t>Version</w:t>
            </w:r>
          </w:p>
        </w:tc>
        <w:tc>
          <w:tcPr>
            <w:tcW w:type="dxa" w:w="6768"/>
          </w:tcPr>
          <w:p>
            <w:pPr>
              <w:spacing w:after="0"/>
            </w:pPr>
            <w:r/>
            <w:r>
              <w:rPr>
                <w:b w:val="0"/>
                <w:sz w:val="18"/>
              </w:rPr>
              <w:t>1</w:t>
            </w:r>
          </w:p>
        </w:tc>
      </w:tr>
      <w:tr>
        <w:tc>
          <w:tcPr>
            <w:tcW w:type="dxa" w:w="2592"/>
          </w:tcPr>
          <w:p>
            <w:pPr>
              <w:spacing w:after="0"/>
            </w:pPr>
            <w:r/>
            <w:r>
              <w:rPr>
                <w:b w:val="0"/>
                <w:sz w:val="18"/>
              </w:rPr>
              <w:t>Status</w:t>
            </w:r>
          </w:p>
        </w:tc>
        <w:tc>
          <w:tcPr>
            <w:tcW w:type="dxa" w:w="6768"/>
          </w:tcPr>
          <w:p>
            <w:pPr>
              <w:spacing w:after="0"/>
            </w:pPr>
            <w:r/>
            <w:r>
              <w:rPr>
                <w:b w:val="0"/>
                <w:sz w:val="18"/>
              </w:rPr>
              <w:t>Draft — based on the 01-09-2026 requirement discussion (Guideline value calculation, Valuation Module (CVC) and GIS valuation)</w:t>
            </w:r>
          </w:p>
        </w:tc>
      </w:tr>
      <w:tr>
        <w:tc>
          <w:tcPr>
            <w:tcW w:type="dxa" w:w="2592"/>
          </w:tcPr>
          <w:p>
            <w:pPr>
              <w:spacing w:after="0"/>
            </w:pPr>
            <w:r/>
            <w:r>
              <w:rPr>
                <w:b w:val="0"/>
                <w:sz w:val="18"/>
              </w:rPr>
              <w:t>Module</w:t>
            </w:r>
          </w:p>
        </w:tc>
        <w:tc>
          <w:tcPr>
            <w:tcW w:type="dxa" w:w="6768"/>
          </w:tcPr>
          <w:p>
            <w:pPr>
              <w:spacing w:after="0"/>
            </w:pPr>
            <w:r/>
            <w:r>
              <w:rPr>
                <w:b w:val="0"/>
                <w:sz w:val="18"/>
              </w:rPr>
              <w:t>Guideline Value Calculation (#5) and GIS Valuation (#22)</w:t>
            </w:r>
          </w:p>
        </w:tc>
      </w:tr>
      <w:tr>
        <w:tc>
          <w:tcPr>
            <w:tcW w:type="dxa" w:w="2592"/>
          </w:tcPr>
          <w:p>
            <w:pPr>
              <w:spacing w:after="0"/>
            </w:pPr>
            <w:r/>
            <w:r>
              <w:rPr>
                <w:b w:val="0"/>
                <w:sz w:val="18"/>
              </w:rPr>
              <w:t>Legal basis (primary)</w:t>
            </w:r>
          </w:p>
        </w:tc>
        <w:tc>
          <w:tcPr>
            <w:tcW w:type="dxa" w:w="6768"/>
          </w:tcPr>
          <w:p>
            <w:pPr>
              <w:spacing w:after="0"/>
            </w:pPr>
            <w:r/>
            <w:r>
              <w:rPr>
                <w:b w:val="0"/>
                <w:sz w:val="18"/>
              </w:rPr>
              <w:t>The Karnataka Stamp Act, 1957 — Secs. 2(ac), 2(mm), 3 + Schedule, 27, 45-A, 45-B</w:t>
            </w:r>
          </w:p>
        </w:tc>
      </w:tr>
      <w:tr>
        <w:tc>
          <w:tcPr>
            <w:tcW w:type="dxa" w:w="2592"/>
          </w:tcPr>
          <w:p>
            <w:pPr>
              <w:spacing w:after="0"/>
            </w:pPr>
            <w:r/>
            <w:r>
              <w:rPr>
                <w:b w:val="0"/>
                <w:sz w:val="18"/>
              </w:rPr>
              <w:t>State rules (primary)</w:t>
            </w:r>
          </w:p>
        </w:tc>
        <w:tc>
          <w:tcPr>
            <w:tcW w:type="dxa" w:w="6768"/>
          </w:tcPr>
          <w:p>
            <w:pPr>
              <w:spacing w:after="0"/>
            </w:pPr>
            <w:r/>
            <w:r>
              <w:rPr>
                <w:b w:val="0"/>
                <w:sz w:val="18"/>
              </w:rPr>
              <w:t>Karnataka Stamp (Prevention of Undervaluation of Instruments) Rules, 1977; Karnataka Registration Rules — Rules 13–15 (supporting)</w:t>
            </w:r>
          </w:p>
        </w:tc>
      </w:tr>
      <w:tr>
        <w:tc>
          <w:tcPr>
            <w:tcW w:type="dxa" w:w="2592"/>
          </w:tcPr>
          <w:p>
            <w:pPr>
              <w:spacing w:after="0"/>
            </w:pPr>
            <w:r/>
            <w:r>
              <w:rPr>
                <w:b w:val="0"/>
                <w:sz w:val="18"/>
              </w:rPr>
              <w:t>Related BRD</w:t>
            </w:r>
          </w:p>
        </w:tc>
        <w:tc>
          <w:tcPr>
            <w:tcW w:type="dxa" w:w="6768"/>
          </w:tcPr>
          <w:p>
            <w:pPr>
              <w:spacing w:after="0"/>
            </w:pPr>
            <w:r/>
            <w:r>
              <w:rPr>
                <w:b w:val="0"/>
                <w:sz w:val="18"/>
              </w:rPr>
              <w:t>BRD-K3-CVC-GVF-001 — Valuation Module (CVC) — Guidance Value Fixation (upstream owner of guideline rates)</w:t>
            </w:r>
          </w:p>
        </w:tc>
      </w:tr>
      <w:tr>
        <w:tc>
          <w:tcPr>
            <w:tcW w:type="dxa" w:w="2592"/>
          </w:tcPr>
          <w:p>
            <w:pPr>
              <w:spacing w:after="0"/>
            </w:pPr>
            <w:r/>
            <w:r>
              <w:rPr>
                <w:b w:val="0"/>
                <w:sz w:val="18"/>
              </w:rPr>
              <w:t>Source discussion</w:t>
            </w:r>
          </w:p>
        </w:tc>
        <w:tc>
          <w:tcPr>
            <w:tcW w:type="dxa" w:w="6768"/>
          </w:tcPr>
          <w:p>
            <w:pPr>
              <w:spacing w:after="0"/>
            </w:pPr>
            <w:r/>
            <w:r>
              <w:rPr>
                <w:b w:val="0"/>
                <w:sz w:val="18"/>
              </w:rPr>
              <w:t>Consolidated_Requirement_Discussions_25082026_to_11092026 — Section 4 (01-09-2026); Document_Registration_requirement_01092026_v2.docx</w:t>
            </w:r>
          </w:p>
        </w:tc>
      </w:tr>
      <w:tr>
        <w:tc>
          <w:tcPr>
            <w:tcW w:type="dxa" w:w="2592"/>
          </w:tcPr>
          <w:p>
            <w:pPr>
              <w:spacing w:after="0"/>
            </w:pPr>
            <w:r/>
            <w:r>
              <w:rPr>
                <w:b w:val="0"/>
                <w:sz w:val="18"/>
              </w:rPr>
              <w:t>Author (BA)</w:t>
            </w:r>
          </w:p>
        </w:tc>
        <w:tc>
          <w:tcPr>
            <w:tcW w:type="dxa" w:w="6768"/>
          </w:tcPr>
          <w:p>
            <w:pPr>
              <w:spacing w:after="0"/>
            </w:pPr>
            <w:r/>
            <w:r>
              <w:rPr>
                <w:b w:val="0"/>
                <w:sz w:val="18"/>
              </w:rPr>
              <w:t>Nandha Kumar</w:t>
            </w:r>
          </w:p>
        </w:tc>
      </w:tr>
      <w:tr>
        <w:tc>
          <w:tcPr>
            <w:tcW w:type="dxa" w:w="2592"/>
          </w:tcPr>
          <w:p>
            <w:pPr>
              <w:spacing w:after="0"/>
            </w:pPr>
            <w:r/>
            <w:r>
              <w:rPr>
                <w:b w:val="0"/>
                <w:sz w:val="18"/>
              </w:rPr>
              <w:t>Product Owner</w:t>
            </w:r>
          </w:p>
        </w:tc>
        <w:tc>
          <w:tcPr>
            <w:tcW w:type="dxa" w:w="6768"/>
          </w:tcPr>
          <w:p>
            <w:pPr>
              <w:spacing w:after="0"/>
            </w:pPr>
            <w:r/>
            <w:r>
              <w:rPr>
                <w:b w:val="0"/>
                <w:sz w:val="18"/>
              </w:rPr>
              <w:t>M V Prashanth</w:t>
            </w:r>
          </w:p>
        </w:tc>
      </w:tr>
      <w:tr>
        <w:tc>
          <w:tcPr>
            <w:tcW w:type="dxa" w:w="2592"/>
          </w:tcPr>
          <w:p>
            <w:pPr>
              <w:spacing w:after="0"/>
            </w:pPr>
            <w:r/>
            <w:r>
              <w:rPr>
                <w:b w:val="0"/>
                <w:sz w:val="18"/>
              </w:rPr>
              <w:t>Domain expert / reviewer</w:t>
            </w:r>
          </w:p>
        </w:tc>
        <w:tc>
          <w:tcPr>
            <w:tcW w:type="dxa" w:w="6768"/>
          </w:tcPr>
          <w:p>
            <w:pPr>
              <w:spacing w:after="0"/>
            </w:pPr>
            <w:r/>
            <w:r>
              <w:rPr>
                <w:b w:val="0"/>
                <w:sz w:val="18"/>
              </w:rPr>
              <w:t>DIGR — Valuation; Kaveri IT Cell; Committee members</w:t>
            </w:r>
          </w:p>
        </w:tc>
      </w:tr>
      <w:tr>
        <w:tc>
          <w:tcPr>
            <w:tcW w:type="dxa" w:w="2592"/>
          </w:tcPr>
          <w:p>
            <w:pPr>
              <w:spacing w:after="0"/>
            </w:pPr>
            <w:r/>
            <w:r>
              <w:rPr>
                <w:b w:val="0"/>
                <w:sz w:val="18"/>
              </w:rPr>
              <w:t>Target audience</w:t>
            </w:r>
          </w:p>
        </w:tc>
        <w:tc>
          <w:tcPr>
            <w:tcW w:type="dxa" w:w="6768"/>
          </w:tcPr>
          <w:p>
            <w:pPr>
              <w:spacing w:after="0"/>
            </w:pPr>
            <w:r/>
            <w:r>
              <w:rPr>
                <w:b w:val="0"/>
                <w:sz w:val="18"/>
              </w:rPr>
              <w:t>Kaveri IT Cell, Department of Stamps and Registration, Government of Karnataka; KSRSAC (GIS integration)</w:t>
            </w:r>
          </w:p>
        </w:tc>
      </w:tr>
      <w:tr>
        <w:tc>
          <w:tcPr>
            <w:tcW w:type="dxa" w:w="2592"/>
          </w:tcPr>
          <w:p>
            <w:pPr>
              <w:spacing w:after="0"/>
            </w:pPr>
            <w:r/>
            <w:r>
              <w:rPr>
                <w:b w:val="0"/>
                <w:sz w:val="18"/>
              </w:rPr>
              <w:t>Last updated</w:t>
            </w:r>
          </w:p>
        </w:tc>
        <w:tc>
          <w:tcPr>
            <w:tcW w:type="dxa" w:w="6768"/>
          </w:tcPr>
          <w:p>
            <w:pPr>
              <w:spacing w:after="0"/>
            </w:pPr>
            <w:r/>
            <w:r>
              <w:rPr>
                <w:b w:val="0"/>
                <w:sz w:val="18"/>
              </w:rPr>
              <w:t>05-10-2026</w:t>
            </w:r>
          </w:p>
        </w:tc>
      </w:tr>
    </w:tbl>
    <w:p/>
    <w:p>
      <w:pPr>
        <w:pStyle w:val="Heading2"/>
      </w:pPr>
      <w:r>
        <w:t>Document control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864"/>
            <w:shd w:val="clear" w:color="auto" w:fill="D9E2F3"/>
          </w:tcPr>
          <w:p>
            <w:pPr>
              <w:spacing w:after="0"/>
            </w:pPr>
            <w:r/>
            <w:r>
              <w:rPr>
                <w:b/>
                <w:sz w:val="18"/>
              </w:rPr>
              <w:t>Version</w:t>
            </w:r>
          </w:p>
        </w:tc>
        <w:tc>
          <w:tcPr>
            <w:tcW w:type="dxa" w:w="1296"/>
            <w:shd w:val="clear" w:color="auto" w:fill="D9E2F3"/>
          </w:tcPr>
          <w:p>
            <w:pPr>
              <w:spacing w:after="0"/>
            </w:pPr>
            <w:r/>
            <w:r>
              <w:rPr>
                <w:b/>
                <w:sz w:val="18"/>
              </w:rPr>
              <w:t>Date</w:t>
            </w:r>
          </w:p>
        </w:tc>
        <w:tc>
          <w:tcPr>
            <w:tcW w:type="dxa" w:w="1440"/>
            <w:shd w:val="clear" w:color="auto" w:fill="D9E2F3"/>
          </w:tcPr>
          <w:p>
            <w:pPr>
              <w:spacing w:after="0"/>
            </w:pPr>
            <w:r/>
            <w:r>
              <w:rPr>
                <w:b/>
                <w:sz w:val="18"/>
              </w:rPr>
              <w:t>Author</w:t>
            </w:r>
          </w:p>
        </w:tc>
        <w:tc>
          <w:tcPr>
            <w:tcW w:type="dxa" w:w="4608"/>
            <w:shd w:val="clear" w:color="auto" w:fill="D9E2F3"/>
          </w:tcPr>
          <w:p>
            <w:pPr>
              <w:spacing w:after="0"/>
            </w:pPr>
            <w:r/>
            <w:r>
              <w:rPr>
                <w:b/>
                <w:sz w:val="18"/>
              </w:rPr>
              <w:t>Summary of change</w:t>
            </w:r>
          </w:p>
        </w:tc>
        <w:tc>
          <w:tcPr>
            <w:tcW w:type="dxa" w:w="1152"/>
            <w:shd w:val="clear" w:color="auto" w:fill="D9E2F3"/>
          </w:tcPr>
          <w:p>
            <w:pPr>
              <w:spacing w:after="0"/>
            </w:pPr>
            <w:r/>
            <w:r>
              <w:rPr>
                <w:b/>
                <w:sz w:val="18"/>
              </w:rPr>
              <w:t>Approver</w:t>
            </w:r>
          </w:p>
        </w:tc>
      </w:tr>
      <w:tr>
        <w:tc>
          <w:tcPr>
            <w:tcW w:type="dxa" w:w="864"/>
          </w:tcPr>
          <w:p>
            <w:pPr>
              <w:spacing w:after="0"/>
            </w:pPr>
            <w:r/>
            <w:r>
              <w:rPr>
                <w:b w:val="0"/>
                <w:sz w:val="18"/>
              </w:rPr>
              <w:t>1</w:t>
            </w:r>
          </w:p>
        </w:tc>
        <w:tc>
          <w:tcPr>
            <w:tcW w:type="dxa" w:w="1296"/>
          </w:tcPr>
          <w:p>
            <w:pPr>
              <w:spacing w:after="0"/>
            </w:pPr>
            <w:r/>
            <w:r>
              <w:rPr>
                <w:b w:val="0"/>
                <w:sz w:val="18"/>
              </w:rPr>
              <w:t>05-10-2026</w:t>
            </w:r>
          </w:p>
        </w:tc>
        <w:tc>
          <w:tcPr>
            <w:tcW w:type="dxa" w:w="1440"/>
          </w:tcPr>
          <w:p>
            <w:pPr>
              <w:spacing w:after="0"/>
            </w:pPr>
            <w:r/>
            <w:r>
              <w:rPr>
                <w:b w:val="0"/>
                <w:sz w:val="18"/>
              </w:rPr>
              <w:t>Nandha Kumar</w:t>
            </w:r>
          </w:p>
        </w:tc>
        <w:tc>
          <w:tcPr>
            <w:tcW w:type="dxa" w:w="4608"/>
          </w:tcPr>
          <w:p>
            <w:pPr>
              <w:spacing w:after="0"/>
            </w:pPr>
            <w:r/>
            <w:r>
              <w:rPr>
                <w:b w:val="0"/>
                <w:sz w:val="18"/>
              </w:rPr>
              <w:t>Initial BRD for Guideline Value Calculation and GIS Valuation from the 01-09-2026 discussion: legal mapping (Stamp Act Secs. 2(mm), 3, 27, 45-A, 45-B; Undervaluation Rules 1977; Registration Rules 13–15); As-Is pain points with ServiceDesk evidence; To-Be Process A (guideline value calculation with KSRSAC GIS valuation) and Process B (Sec. 45-A undervaluation reference); functional and non-functional requirements; user-story traceability</w:t>
            </w:r>
          </w:p>
        </w:tc>
        <w:tc>
          <w:tcPr>
            <w:tcW w:type="dxa" w:w="1152"/>
          </w:tcPr>
          <w:p>
            <w:pPr>
              <w:spacing w:after="0"/>
            </w:pPr>
            <w:r/>
            <w:r>
              <w:rPr>
                <w:b w:val="0"/>
                <w:sz w:val="18"/>
              </w:rPr>
              <w:t>Prashanth</w:t>
            </w:r>
          </w:p>
        </w:tc>
      </w:tr>
    </w:tbl>
    <w:p/>
    <w:p>
      <w:pPr>
        <w:pStyle w:val="Heading2"/>
      </w:pPr>
      <w:r>
        <w:t>1. Executive summary</w:t>
      </w:r>
    </w:p>
    <w:p>
      <w:pPr>
        <w:pStyle w:val="ListParagraph"/>
      </w:pPr>
      <w:r>
        <w:t>This document presents an assessment of the existing guideline (market) value calculation used at the time of document registration in Kaveri 2.0, and defines the Kaveri 3.0 requirements for guideline value calculation and for GIS-based valuation integrated with the Karnataka State Remote Sensing Applications Centre (KSRSAC).</w:t>
      </w:r>
    </w:p>
    <w:p>
      <w:pPr>
        <w:pStyle w:val="ListParagraph"/>
      </w:pPr>
      <w:r>
        <w:t>Guideline value calculation applies the market value guidelines published by the Central Valuation Committee (CVC) under Sec. 45-B of the Karnataka Stamp Act, 1957 to the property described in the instrument. The higher of the guideline value and the consideration becomes the market value (Sec. 2(mm)), on which ad valorem stamp duty is charged under Sec. 3 and the Schedule. Where the Sub-Registrar believes the market value is not truly set forth, the undervaluation procedure under Sec. 45-A and the Karnataka Stamp (Prevention of Undervaluation of Instruments) Rules, 1977 applies.</w:t>
      </w:r>
    </w:p>
    <w:p>
      <w:pPr>
        <w:pStyle w:val="ListParagraph"/>
      </w:pPr>
      <w:r>
        <w:t>GIS valuation is an implementation layer on top of the CVC guideline rates. The property is located on the KSRSAC cadastral layer and matched spatially to the correct CVC valuation area, road and rural / urban zone, so that the right rate is applied and the valuation is evidenced with a map snapshot.</w:t>
      </w:r>
    </w:p>
    <w:p>
      <w:pPr>
        <w:pStyle w:val="ListParagraph"/>
      </w:pPr>
      <w:r>
        <w:t>The document identifies the current pain points (blank or wrong market value, wrong rural / urban building rate, unit-conversion failures, duty calculator failures, adjudicated value not respected, CVC rates missing in logins, broken revaluation and Sec. 45-A workflows), proposes the To-Be workflows, and defines functional, non-functional and data requirements with traceability to the Acts, Rules and user stories discussed.</w:t>
      </w:r>
    </w:p>
    <w:p>
      <w:pPr>
        <w:pStyle w:val="Heading2"/>
      </w:pPr>
      <w:r>
        <w:t>2. Scope</w:t>
      </w:r>
    </w:p>
    <w:p>
      <w:pPr/>
      <w:r>
        <w:t>In scope:</w:t>
      </w:r>
    </w:p>
    <w:p>
      <w:pPr>
        <w:pStyle w:val="ListBullet"/>
      </w:pPr>
      <w:r>
        <w:t>Guideline value calculation for all instruments that require market value — citizen self-valuation on the portal, DEO-assisted valuation at the SRO and Sub-Registrar verification.</w:t>
      </w:r>
    </w:p>
    <w:p>
      <w:pPr>
        <w:pStyle w:val="ListBullet"/>
      </w:pPr>
      <w:r>
        <w:t>Property identification by territorial division and survey description (Registration Rules 13–15): district, taluk, hobli / town, village / ward, survey number + Pot Hissa, city survey / CTS, khata / UPIN / ULPIN, or pick on map.</w:t>
      </w:r>
    </w:p>
    <w:p>
      <w:pPr>
        <w:pStyle w:val="ListBullet"/>
      </w:pPr>
      <w:r>
        <w:t>GIS valuation: KSRSAC parcel lookup, boundary validation, spatial match to CVC valuation area / road / rural-urban zone, map display and stored GIS map snapshot.</w:t>
      </w:r>
    </w:p>
    <w:p>
      <w:pPr>
        <w:pStyle w:val="ListBullet"/>
      </w:pPr>
      <w:r>
        <w:t>Consumption of the Active, versioned CVC guideline rate master effective on the date of execution (rates are owned and published by the CVC Valuation Module — BRD-K3-CVC-GVF-001).</w:t>
      </w:r>
    </w:p>
    <w:p>
      <w:pPr>
        <w:pStyle w:val="ListBullet"/>
      </w:pPr>
      <w:r>
        <w:t>Valuation computation: land, building / structure and apartment components; unit conversion (acre / gunta / cent / hectare / sq.ft / sq.m); itemised breakup.</w:t>
      </w:r>
    </w:p>
    <w:p>
      <w:pPr>
        <w:pStyle w:val="ListBullet"/>
      </w:pPr>
      <w:r>
        <w:t>Market value determination (higher of guideline value and consideration, Sec. 2(mm)) and hand-off to the stamp duty and registration fee engine with the Schedule article.</w:t>
      </w:r>
    </w:p>
    <w:p>
      <w:pPr>
        <w:pStyle w:val="ListBullet"/>
      </w:pPr>
      <w:r>
        <w:t>Sub-Registrar verification: accept, send back for revaluation, or initiate a Sec. 45-A reference.</w:t>
      </w:r>
    </w:p>
    <w:p>
      <w:pPr>
        <w:pStyle w:val="ListBullet"/>
      </w:pPr>
      <w:r>
        <w:t>Sec. 45-A undervaluation reference: SR estimate and communication, Form I and reference to the Deputy Commissioner, hearing and order, suo motu examination, appeal to the Regional Commissioner with 50% deposit, duty difference with interest, refund and release of the pending document.</w:t>
      </w:r>
    </w:p>
    <w:p>
      <w:pPr>
        <w:pStyle w:val="ListBullet"/>
      </w:pPr>
      <w:r>
        <w:t>GIS / valuation master alignment between Kaveri, the CVC rate master and KSRSAC layers (village, road, survey crosswalk).</w:t>
      </w:r>
    </w:p>
    <w:p>
      <w:pPr>
        <w:pStyle w:val="ListBullet"/>
      </w:pPr>
      <w:r>
        <w:t>Notifications, MIS, audit trail, bilingual UI (English + Kannada) and role-based access.</w:t>
      </w:r>
    </w:p>
    <w:p>
      <w:pPr/>
      <w:r>
        <w:t>Out of scope (covered elsewhere):</w:t>
      </w:r>
    </w:p>
    <w:p>
      <w:pPr>
        <w:pStyle w:val="ListBullet"/>
      </w:pPr>
      <w:r>
        <w:t>Estimation, publication and revision of guideline rates by the CVC and sub-committees, and fixation for new individual projects — BRD-K3-CVC-GVF-001.</w:t>
      </w:r>
    </w:p>
    <w:p>
      <w:pPr>
        <w:pStyle w:val="ListBullet"/>
      </w:pPr>
      <w:r>
        <w:t>Stamp duty / registration fee article master, exemptions and concessions — Document Registration fee engine (this BRD supplies the market value and article).</w:t>
      </w:r>
    </w:p>
    <w:p>
      <w:pPr>
        <w:pStyle w:val="ListBullet"/>
      </w:pPr>
      <w:r>
        <w:t>Revision of Deputy Commissioner orders by the Chief Controlling Revenue Authority under Sec. 53-A — to be addressed in the Stamp Act adjudication BRD.</w:t>
      </w:r>
    </w:p>
    <w:p>
      <w:pPr>
        <w:pStyle w:val="Heading2"/>
      </w:pPr>
      <w:r>
        <w:t>3. Legal and regulatory reference</w:t>
      </w:r>
    </w:p>
    <w:p>
      <w:pPr>
        <w:pStyle w:val="Heading3"/>
      </w:pPr>
      <w:r>
        <w:t>3.1 Applicable Acts</w:t>
      </w:r>
    </w:p>
    <w:p>
      <w:pPr/>
      <w:r>
        <w:t>The Department of Stamps and Registration, through the Sub-Registrars (registering officers), the Deputy Commissioners / District Registrars and the Central Valuation Committee, administers the following Act and Rules for guideline value calculation:</w:t>
      </w:r>
    </w:p>
    <w:tbl>
      <w:tblPr>
        <w:tblStyle w:val="TableGrid"/>
        <w:tblW w:type="auto" w:w="0"/>
        <w:tblLook w:firstColumn="1" w:firstRow="1" w:lastColumn="0" w:lastRow="0" w:noHBand="0" w:noVBand="1" w:val="04A0"/>
      </w:tblPr>
      <w:tblGrid>
        <w:gridCol w:w="5112"/>
        <w:gridCol w:w="5112"/>
      </w:tblGrid>
      <w:tr>
        <w:tc>
          <w:tcPr>
            <w:tcW w:type="dxa" w:w="3168"/>
            <w:shd w:val="clear" w:color="auto" w:fill="D9E2F3"/>
          </w:tcPr>
          <w:p>
            <w:pPr>
              <w:spacing w:after="0"/>
            </w:pPr>
            <w:r/>
            <w:r>
              <w:rPr>
                <w:b/>
                <w:sz w:val="18"/>
              </w:rPr>
              <w:t>Act / Rules</w:t>
            </w:r>
          </w:p>
        </w:tc>
        <w:tc>
          <w:tcPr>
            <w:tcW w:type="dxa" w:w="6192"/>
            <w:shd w:val="clear" w:color="auto" w:fill="D9E2F3"/>
          </w:tcPr>
          <w:p>
            <w:pPr>
              <w:spacing w:after="0"/>
            </w:pPr>
            <w:r/>
            <w:r>
              <w:rPr>
                <w:b/>
                <w:sz w:val="18"/>
              </w:rPr>
              <w:t>Description</w:t>
            </w:r>
          </w:p>
        </w:tc>
      </w:tr>
      <w:tr>
        <w:tc>
          <w:tcPr>
            <w:tcW w:type="dxa" w:w="3168"/>
          </w:tcPr>
          <w:p>
            <w:pPr>
              <w:spacing w:after="0"/>
            </w:pPr>
            <w:r/>
            <w:r>
              <w:rPr>
                <w:b w:val="0"/>
                <w:sz w:val="18"/>
              </w:rPr>
              <w:t>The Karnataka Stamp Act, 1957</w:t>
            </w:r>
          </w:p>
        </w:tc>
        <w:tc>
          <w:tcPr>
            <w:tcW w:type="dxa" w:w="6192"/>
          </w:tcPr>
          <w:p>
            <w:pPr>
              <w:spacing w:after="0"/>
            </w:pPr>
            <w:r/>
            <w:r>
              <w:rPr>
                <w:b w:val="0"/>
                <w:sz w:val="18"/>
              </w:rPr>
              <w:t>Sec. 2(ac) defines the Central Valuation Committee; Sec. 2(mm) defines market value (open-market price on the date of execution or the consideration, whichever is higher); Sec. 3 + Schedule levy ad valorem duty on market value for listed instruments; Sec. 27 requires the consideration and all facts affecting duty to be fully and truly set forth; Sec. 45-A sets out the undervaluation procedure; Sec. 45-B constitutes the CVC for estimation, publication and revision of market value guidelines. Notifications / amendments: Act 24 of 1999, Act 8 of 2003, Act 7 of 2006, Act 7 of 2007, Act 17 of 2007 — see 3.4</w:t>
            </w:r>
          </w:p>
        </w:tc>
      </w:tr>
      <w:tr>
        <w:tc>
          <w:tcPr>
            <w:tcW w:type="dxa" w:w="3168"/>
          </w:tcPr>
          <w:p>
            <w:pPr>
              <w:spacing w:after="0"/>
            </w:pPr>
            <w:r/>
            <w:r>
              <w:rPr>
                <w:b w:val="0"/>
                <w:sz w:val="18"/>
              </w:rPr>
              <w:t>Karnataka Stamp (Prevention of Undervaluation of Instruments) Rules, 1977</w:t>
            </w:r>
          </w:p>
        </w:tc>
        <w:tc>
          <w:tcPr>
            <w:tcW w:type="dxa" w:w="6192"/>
          </w:tcPr>
          <w:p>
            <w:pPr>
              <w:spacing w:after="0"/>
            </w:pPr>
            <w:r/>
            <w:r>
              <w:rPr>
                <w:b w:val="0"/>
                <w:sz w:val="18"/>
              </w:rPr>
              <w:t>Operational procedure when Sec. 45-A is invoked — Form I (property particulars and market value), reference to the Deputy Commissioner, inquiry, order and appeal. Notification GSR 81 / RD 73 EST 74; amended by RD 264 MUNOMU 99 (18-08-1999) — see 3.4</w:t>
            </w:r>
          </w:p>
        </w:tc>
      </w:tr>
      <w:tr>
        <w:tc>
          <w:tcPr>
            <w:tcW w:type="dxa" w:w="3168"/>
          </w:tcPr>
          <w:p>
            <w:pPr>
              <w:spacing w:after="0"/>
            </w:pPr>
            <w:r/>
            <w:r>
              <w:rPr>
                <w:b w:val="0"/>
                <w:sz w:val="18"/>
              </w:rPr>
              <w:t>The Registration Act, 1908 and Karnataka Registration Rules (Rules 13–15) — supporting</w:t>
            </w:r>
          </w:p>
        </w:tc>
        <w:tc>
          <w:tcPr>
            <w:tcW w:type="dxa" w:w="6192"/>
          </w:tcPr>
          <w:p>
            <w:pPr>
              <w:spacing w:after="0"/>
            </w:pPr>
            <w:r/>
            <w:r>
              <w:rPr>
                <w:b w:val="0"/>
                <w:sz w:val="18"/>
              </w:rPr>
              <w:t>Description of property by territorial division and survey / city survey particulars, needed to identify the property and pick the correct guideline rate</w:t>
            </w:r>
          </w:p>
        </w:tc>
      </w:tr>
    </w:tbl>
    <w:p/>
    <w:p>
      <w:pPr>
        <w:pStyle w:val="Heading3"/>
      </w:pPr>
      <w:r>
        <w:t>3.2 Relevant sections — Karnataka Stamp Act, 1957</w:t>
      </w:r>
    </w:p>
    <w:tbl>
      <w:tblPr>
        <w:tblStyle w:val="TableGrid"/>
        <w:tblW w:type="auto" w:w="0"/>
        <w:tblLook w:firstColumn="1" w:firstRow="1" w:lastColumn="0" w:lastRow="0" w:noHBand="0" w:noVBand="1" w:val="04A0"/>
      </w:tblPr>
      <w:tblGrid>
        <w:gridCol w:w="2556"/>
        <w:gridCol w:w="2556"/>
        <w:gridCol w:w="2556"/>
        <w:gridCol w:w="2556"/>
      </w:tblGrid>
      <w:tr>
        <w:tc>
          <w:tcPr>
            <w:tcW w:type="dxa" w:w="1152"/>
            <w:shd w:val="clear" w:color="auto" w:fill="D9E2F3"/>
          </w:tcPr>
          <w:p>
            <w:pPr>
              <w:spacing w:after="0"/>
            </w:pPr>
            <w:r/>
            <w:r>
              <w:rPr>
                <w:b/>
                <w:sz w:val="18"/>
              </w:rPr>
              <w:t>Section</w:t>
            </w:r>
          </w:p>
        </w:tc>
        <w:tc>
          <w:tcPr>
            <w:tcW w:type="dxa" w:w="1872"/>
            <w:shd w:val="clear" w:color="auto" w:fill="D9E2F3"/>
          </w:tcPr>
          <w:p>
            <w:pPr>
              <w:spacing w:after="0"/>
            </w:pPr>
            <w:r/>
            <w:r>
              <w:rPr>
                <w:b/>
                <w:sz w:val="18"/>
              </w:rPr>
              <w:t>Topic</w:t>
            </w:r>
          </w:p>
        </w:tc>
        <w:tc>
          <w:tcPr>
            <w:tcW w:type="dxa" w:w="4176"/>
            <w:shd w:val="clear" w:color="auto" w:fill="D9E2F3"/>
          </w:tcPr>
          <w:p>
            <w:pPr>
              <w:spacing w:after="0"/>
            </w:pPr>
            <w:r/>
            <w:r>
              <w:rPr>
                <w:b/>
                <w:sz w:val="18"/>
              </w:rPr>
              <w:t>Relevance</w:t>
            </w:r>
          </w:p>
        </w:tc>
        <w:tc>
          <w:tcPr>
            <w:tcW w:type="dxa" w:w="2160"/>
            <w:shd w:val="clear" w:color="auto" w:fill="D9E2F3"/>
          </w:tcPr>
          <w:p>
            <w:pPr>
              <w:spacing w:after="0"/>
            </w:pPr>
            <w:r/>
            <w:r>
              <w:rPr>
                <w:b/>
                <w:sz w:val="18"/>
              </w:rPr>
              <w:t>Refer section 7 for Implementation</w:t>
            </w:r>
          </w:p>
        </w:tc>
      </w:tr>
      <w:tr>
        <w:tc>
          <w:tcPr>
            <w:tcW w:type="dxa" w:w="1152"/>
          </w:tcPr>
          <w:p>
            <w:pPr>
              <w:spacing w:after="0"/>
            </w:pPr>
            <w:r/>
            <w:r>
              <w:rPr>
                <w:b w:val="0"/>
                <w:sz w:val="18"/>
              </w:rPr>
              <w:t>Sec. 2(ac)</w:t>
            </w:r>
          </w:p>
        </w:tc>
        <w:tc>
          <w:tcPr>
            <w:tcW w:type="dxa" w:w="1872"/>
          </w:tcPr>
          <w:p>
            <w:pPr>
              <w:spacing w:after="0"/>
            </w:pPr>
            <w:r/>
            <w:r>
              <w:rPr>
                <w:b w:val="0"/>
                <w:sz w:val="18"/>
              </w:rPr>
              <w:t>Definition — Central Valuation Committee</w:t>
            </w:r>
          </w:p>
        </w:tc>
        <w:tc>
          <w:tcPr>
            <w:tcW w:type="dxa" w:w="4176"/>
          </w:tcPr>
          <w:p>
            <w:pPr>
              <w:spacing w:after="0"/>
            </w:pPr>
            <w:r/>
            <w:r>
              <w:rPr>
                <w:b w:val="0"/>
                <w:sz w:val="18"/>
              </w:rPr>
              <w:t>CVC (constituted under Sec. 45-B) is the statutory owner of the guideline rates consumed by the calculation</w:t>
            </w:r>
          </w:p>
        </w:tc>
        <w:tc>
          <w:tcPr>
            <w:tcW w:type="dxa" w:w="2160"/>
          </w:tcPr>
          <w:p>
            <w:pPr>
              <w:spacing w:after="0"/>
            </w:pPr>
            <w:r/>
            <w:r>
              <w:rPr>
                <w:b w:val="0"/>
                <w:sz w:val="18"/>
              </w:rPr>
              <w:t>7.1 step 6 (Active CVC rate version)</w:t>
            </w:r>
          </w:p>
        </w:tc>
      </w:tr>
      <w:tr>
        <w:tc>
          <w:tcPr>
            <w:tcW w:type="dxa" w:w="1152"/>
          </w:tcPr>
          <w:p>
            <w:pPr>
              <w:spacing w:after="0"/>
            </w:pPr>
            <w:r/>
            <w:r>
              <w:rPr>
                <w:b w:val="0"/>
                <w:sz w:val="18"/>
              </w:rPr>
              <w:t>Sec. 2(mm)</w:t>
            </w:r>
          </w:p>
        </w:tc>
        <w:tc>
          <w:tcPr>
            <w:tcW w:type="dxa" w:w="1872"/>
          </w:tcPr>
          <w:p>
            <w:pPr>
              <w:spacing w:after="0"/>
            </w:pPr>
            <w:r/>
            <w:r>
              <w:rPr>
                <w:b w:val="0"/>
                <w:sz w:val="18"/>
              </w:rPr>
              <w:t>Definition — Market value</w:t>
            </w:r>
          </w:p>
        </w:tc>
        <w:tc>
          <w:tcPr>
            <w:tcW w:type="dxa" w:w="4176"/>
          </w:tcPr>
          <w:p>
            <w:pPr>
              <w:spacing w:after="0"/>
            </w:pPr>
            <w:r/>
            <w:r>
              <w:rPr>
                <w:b w:val="0"/>
                <w:sz w:val="18"/>
              </w:rPr>
              <w:t>Price the property would fetch in the open market on the date of execution, or the consideration stated in the instrument, whichever is higher. Proviso: for instruments executed by / on behalf of / in favour of the State or Central Government, a local authority, a statutory authority or a wholly Government-owned body, market value is the consideration set forth (substituted by Act 8 of 2003 — 3.4)</w:t>
            </w:r>
          </w:p>
        </w:tc>
        <w:tc>
          <w:tcPr>
            <w:tcW w:type="dxa" w:w="2160"/>
          </w:tcPr>
          <w:p>
            <w:pPr>
              <w:spacing w:after="0"/>
            </w:pPr>
            <w:r/>
            <w:r>
              <w:rPr>
                <w:b w:val="0"/>
                <w:sz w:val="18"/>
              </w:rPr>
              <w:t>7.1 steps 6 and 10 (execution-date rate; higher-of rule; Government proviso)</w:t>
            </w:r>
          </w:p>
        </w:tc>
      </w:tr>
      <w:tr>
        <w:tc>
          <w:tcPr>
            <w:tcW w:type="dxa" w:w="1152"/>
          </w:tcPr>
          <w:p>
            <w:pPr>
              <w:spacing w:after="0"/>
            </w:pPr>
            <w:r/>
            <w:r>
              <w:rPr>
                <w:b w:val="0"/>
                <w:sz w:val="18"/>
              </w:rPr>
              <w:t>Sec. 3 + Schedule</w:t>
            </w:r>
          </w:p>
        </w:tc>
        <w:tc>
          <w:tcPr>
            <w:tcW w:type="dxa" w:w="1872"/>
          </w:tcPr>
          <w:p>
            <w:pPr>
              <w:spacing w:after="0"/>
            </w:pPr>
            <w:r/>
            <w:r>
              <w:rPr>
                <w:b w:val="0"/>
                <w:sz w:val="18"/>
              </w:rPr>
              <w:t>Instruments chargeable with duty</w:t>
            </w:r>
          </w:p>
        </w:tc>
        <w:tc>
          <w:tcPr>
            <w:tcW w:type="dxa" w:w="4176"/>
          </w:tcPr>
          <w:p>
            <w:pPr>
              <w:spacing w:after="0"/>
            </w:pPr>
            <w:r/>
            <w:r>
              <w:rPr>
                <w:b w:val="0"/>
                <w:sz w:val="18"/>
              </w:rPr>
              <w:t>Ad valorem duty on market value for listed instruments (conveyance, gift, exchange, settlement, partition, lease, trust and others)</w:t>
            </w:r>
          </w:p>
        </w:tc>
        <w:tc>
          <w:tcPr>
            <w:tcW w:type="dxa" w:w="2160"/>
          </w:tcPr>
          <w:p>
            <w:pPr>
              <w:spacing w:after="0"/>
            </w:pPr>
            <w:r/>
            <w:r>
              <w:rPr>
                <w:b w:val="0"/>
                <w:sz w:val="18"/>
              </w:rPr>
              <w:t>7.1 step 11 (Schedule article and duty)</w:t>
            </w:r>
          </w:p>
        </w:tc>
      </w:tr>
      <w:tr>
        <w:tc>
          <w:tcPr>
            <w:tcW w:type="dxa" w:w="1152"/>
          </w:tcPr>
          <w:p>
            <w:pPr>
              <w:spacing w:after="0"/>
            </w:pPr>
            <w:r/>
            <w:r>
              <w:rPr>
                <w:b w:val="0"/>
                <w:sz w:val="18"/>
              </w:rPr>
              <w:t>Sec. 27</w:t>
            </w:r>
          </w:p>
        </w:tc>
        <w:tc>
          <w:tcPr>
            <w:tcW w:type="dxa" w:w="1872"/>
          </w:tcPr>
          <w:p>
            <w:pPr>
              <w:spacing w:after="0"/>
            </w:pPr>
            <w:r/>
            <w:r>
              <w:rPr>
                <w:b w:val="0"/>
                <w:sz w:val="18"/>
              </w:rPr>
              <w:t>Facts affecting duty to be set forth</w:t>
            </w:r>
          </w:p>
        </w:tc>
        <w:tc>
          <w:tcPr>
            <w:tcW w:type="dxa" w:w="4176"/>
          </w:tcPr>
          <w:p>
            <w:pPr>
              <w:spacing w:after="0"/>
            </w:pPr>
            <w:r/>
            <w:r>
              <w:rPr>
                <w:b w:val="0"/>
                <w:sz w:val="18"/>
              </w:rPr>
              <w:t>Consideration and all facts affecting chargeability / amount of duty must be fully and truly set forth in the instrument — captured as declared consideration</w:t>
            </w:r>
          </w:p>
        </w:tc>
        <w:tc>
          <w:tcPr>
            <w:tcW w:type="dxa" w:w="2160"/>
          </w:tcPr>
          <w:p>
            <w:pPr>
              <w:spacing w:after="0"/>
            </w:pPr>
            <w:r/>
            <w:r>
              <w:rPr>
                <w:b w:val="0"/>
                <w:sz w:val="18"/>
              </w:rPr>
              <w:t>7.1 step 9 (consideration capture)</w:t>
            </w:r>
          </w:p>
        </w:tc>
      </w:tr>
      <w:tr>
        <w:tc>
          <w:tcPr>
            <w:tcW w:type="dxa" w:w="1152"/>
          </w:tcPr>
          <w:p>
            <w:pPr>
              <w:spacing w:after="0"/>
            </w:pPr>
            <w:r/>
            <w:r>
              <w:rPr>
                <w:b w:val="0"/>
                <w:sz w:val="18"/>
              </w:rPr>
              <w:t>Sec. 45-A(1)</w:t>
            </w:r>
          </w:p>
        </w:tc>
        <w:tc>
          <w:tcPr>
            <w:tcW w:type="dxa" w:w="1872"/>
          </w:tcPr>
          <w:p>
            <w:pPr>
              <w:spacing w:after="0"/>
            </w:pPr>
            <w:r/>
            <w:r>
              <w:rPr>
                <w:b w:val="0"/>
                <w:sz w:val="18"/>
              </w:rPr>
              <w:t>Instruments undervalued — reference</w:t>
            </w:r>
          </w:p>
        </w:tc>
        <w:tc>
          <w:tcPr>
            <w:tcW w:type="dxa" w:w="4176"/>
          </w:tcPr>
          <w:p>
            <w:pPr>
              <w:spacing w:after="0"/>
            </w:pPr>
            <w:r/>
            <w:r>
              <w:rPr>
                <w:b w:val="0"/>
                <w:sz w:val="18"/>
              </w:rPr>
              <w:t>For instruments in clauses (a)–(o) (see 3.5), if the registering officer has reason to believe, having regard to the CVC guidelines or otherwise, that market value is not truly set forth, he arrives at the estimated market value, communicates it to the parties and, unless duty is paid on that value, keeps registration pending and refers the matter with a copy of the instrument to the Deputy Commissioner (substituted by Act 24 of 1999 — 3.4)</w:t>
            </w:r>
          </w:p>
        </w:tc>
        <w:tc>
          <w:tcPr>
            <w:tcW w:type="dxa" w:w="2160"/>
          </w:tcPr>
          <w:p>
            <w:pPr>
              <w:spacing w:after="0"/>
            </w:pPr>
            <w:r/>
            <w:r>
              <w:rPr>
                <w:b w:val="0"/>
                <w:sz w:val="18"/>
              </w:rPr>
              <w:t>7.1 steps 13–14; 7.2 steps 1–4</w:t>
            </w:r>
          </w:p>
        </w:tc>
      </w:tr>
      <w:tr>
        <w:tc>
          <w:tcPr>
            <w:tcW w:type="dxa" w:w="1152"/>
          </w:tcPr>
          <w:p>
            <w:pPr>
              <w:spacing w:after="0"/>
            </w:pPr>
            <w:r/>
            <w:r>
              <w:rPr>
                <w:b w:val="0"/>
                <w:sz w:val="18"/>
              </w:rPr>
              <w:t>Sec. 45-A(2)</w:t>
            </w:r>
          </w:p>
        </w:tc>
        <w:tc>
          <w:tcPr>
            <w:tcW w:type="dxa" w:w="1872"/>
          </w:tcPr>
          <w:p>
            <w:pPr>
              <w:spacing w:after="0"/>
            </w:pPr>
            <w:r/>
            <w:r>
              <w:rPr>
                <w:b w:val="0"/>
                <w:sz w:val="18"/>
              </w:rPr>
              <w:t>Determination by Deputy Commissioner</w:t>
            </w:r>
          </w:p>
        </w:tc>
        <w:tc>
          <w:tcPr>
            <w:tcW w:type="dxa" w:w="4176"/>
          </w:tcPr>
          <w:p>
            <w:pPr>
              <w:spacing w:after="0"/>
            </w:pPr>
            <w:r/>
            <w:r>
              <w:rPr>
                <w:b w:val="0"/>
                <w:sz w:val="18"/>
              </w:rPr>
              <w:t>After reasonable opportunity of hearing and inquiry as prescribed, DC determines market value and duty, as far as may be within 90 days of receipt of reference; difference payable with 12% p.a. interest if not paid within 90 days of the order (interest not applicable to instruments executed before 31-03-2006 — Act 7 of 2006)</w:t>
            </w:r>
          </w:p>
        </w:tc>
        <w:tc>
          <w:tcPr>
            <w:tcW w:type="dxa" w:w="2160"/>
          </w:tcPr>
          <w:p>
            <w:pPr>
              <w:spacing w:after="0"/>
            </w:pPr>
            <w:r/>
            <w:r>
              <w:rPr>
                <w:b w:val="0"/>
                <w:sz w:val="18"/>
              </w:rPr>
              <w:t>7.2 steps 5–7, 11–12</w:t>
            </w:r>
          </w:p>
        </w:tc>
      </w:tr>
      <w:tr>
        <w:tc>
          <w:tcPr>
            <w:tcW w:type="dxa" w:w="1152"/>
          </w:tcPr>
          <w:p>
            <w:pPr>
              <w:spacing w:after="0"/>
            </w:pPr>
            <w:r/>
            <w:r>
              <w:rPr>
                <w:b w:val="0"/>
                <w:sz w:val="18"/>
              </w:rPr>
              <w:t>Sec. 45-A(3)</w:t>
            </w:r>
          </w:p>
        </w:tc>
        <w:tc>
          <w:tcPr>
            <w:tcW w:type="dxa" w:w="1872"/>
          </w:tcPr>
          <w:p>
            <w:pPr>
              <w:spacing w:after="0"/>
            </w:pPr>
            <w:r/>
            <w:r>
              <w:rPr>
                <w:b w:val="0"/>
                <w:sz w:val="18"/>
              </w:rPr>
              <w:t>Suo motu examination</w:t>
            </w:r>
          </w:p>
        </w:tc>
        <w:tc>
          <w:tcPr>
            <w:tcW w:type="dxa" w:w="4176"/>
          </w:tcPr>
          <w:p>
            <w:pPr>
              <w:spacing w:after="0"/>
            </w:pPr>
            <w:r/>
            <w:r>
              <w:rPr>
                <w:b w:val="0"/>
                <w:sz w:val="18"/>
              </w:rPr>
              <w:t>DC may suo motu, within two years from the date of registration, call for and examine any instrument in sub-section (1) not already referred; same procedure and interest as (2); not applicable to instruments registered before the Karnataka Stamp (Amendment) Act, 1975</w:t>
            </w:r>
          </w:p>
        </w:tc>
        <w:tc>
          <w:tcPr>
            <w:tcW w:type="dxa" w:w="2160"/>
          </w:tcPr>
          <w:p>
            <w:pPr>
              <w:spacing w:after="0"/>
            </w:pPr>
            <w:r/>
            <w:r>
              <w:rPr>
                <w:b w:val="0"/>
                <w:sz w:val="18"/>
              </w:rPr>
              <w:t>7.2 DC start (suo motu) → steps 5–7</w:t>
            </w:r>
          </w:p>
        </w:tc>
      </w:tr>
      <w:tr>
        <w:tc>
          <w:tcPr>
            <w:tcW w:type="dxa" w:w="1152"/>
          </w:tcPr>
          <w:p>
            <w:pPr>
              <w:spacing w:after="0"/>
            </w:pPr>
            <w:r/>
            <w:r>
              <w:rPr>
                <w:b w:val="0"/>
                <w:sz w:val="18"/>
              </w:rPr>
              <w:t>Sec. 45-A(4)</w:t>
            </w:r>
          </w:p>
        </w:tc>
        <w:tc>
          <w:tcPr>
            <w:tcW w:type="dxa" w:w="1872"/>
          </w:tcPr>
          <w:p>
            <w:pPr>
              <w:spacing w:after="0"/>
            </w:pPr>
            <w:r/>
            <w:r>
              <w:rPr>
                <w:b w:val="0"/>
                <w:sz w:val="18"/>
              </w:rPr>
              <w:t>Communication of order</w:t>
            </w:r>
          </w:p>
        </w:tc>
        <w:tc>
          <w:tcPr>
            <w:tcW w:type="dxa" w:w="4176"/>
          </w:tcPr>
          <w:p>
            <w:pPr>
              <w:spacing w:after="0"/>
            </w:pPr>
            <w:r/>
            <w:r>
              <w:rPr>
                <w:b w:val="0"/>
                <w:sz w:val="18"/>
              </w:rPr>
              <w:t>DC order communicated to the person liable to pay duty; copy to the registering officer</w:t>
            </w:r>
          </w:p>
        </w:tc>
        <w:tc>
          <w:tcPr>
            <w:tcW w:type="dxa" w:w="2160"/>
          </w:tcPr>
          <w:p>
            <w:pPr>
              <w:spacing w:after="0"/>
            </w:pPr>
            <w:r/>
            <w:r>
              <w:rPr>
                <w:b w:val="0"/>
                <w:sz w:val="18"/>
              </w:rPr>
              <w:t>7.2 step 7</w:t>
            </w:r>
          </w:p>
        </w:tc>
      </w:tr>
      <w:tr>
        <w:tc>
          <w:tcPr>
            <w:tcW w:type="dxa" w:w="1152"/>
          </w:tcPr>
          <w:p>
            <w:pPr>
              <w:spacing w:after="0"/>
            </w:pPr>
            <w:r/>
            <w:r>
              <w:rPr>
                <w:b w:val="0"/>
                <w:sz w:val="18"/>
              </w:rPr>
              <w:t>Sec. 45-A(5)</w:t>
            </w:r>
          </w:p>
        </w:tc>
        <w:tc>
          <w:tcPr>
            <w:tcW w:type="dxa" w:w="1872"/>
          </w:tcPr>
          <w:p>
            <w:pPr>
              <w:spacing w:after="0"/>
            </w:pPr>
            <w:r/>
            <w:r>
              <w:rPr>
                <w:b w:val="0"/>
                <w:sz w:val="18"/>
              </w:rPr>
              <w:t>Appeal</w:t>
            </w:r>
          </w:p>
        </w:tc>
        <w:tc>
          <w:tcPr>
            <w:tcW w:type="dxa" w:w="4176"/>
          </w:tcPr>
          <w:p>
            <w:pPr>
              <w:spacing w:after="0"/>
            </w:pPr>
            <w:r/>
            <w:r>
              <w:rPr>
                <w:b w:val="0"/>
                <w:sz w:val="18"/>
              </w:rPr>
              <w:t>Appeal to the Regional Commissioner (Act 17 of 2007); not admitted unless 50% of the duty difference determined by the DC is deposited; deposit refunded if, after appeal or remand, duty borne is sufficient; difference payable with 12% p.a. interest if not paid within 90 days of DC order or 60 days of appellate order (not applicable to instruments executed before 18-08-1999)</w:t>
            </w:r>
          </w:p>
        </w:tc>
        <w:tc>
          <w:tcPr>
            <w:tcW w:type="dxa" w:w="2160"/>
          </w:tcPr>
          <w:p>
            <w:pPr>
              <w:spacing w:after="0"/>
            </w:pPr>
            <w:r/>
            <w:r>
              <w:rPr>
                <w:b w:val="0"/>
                <w:sz w:val="18"/>
              </w:rPr>
              <w:t>7.2 steps 8–12</w:t>
            </w:r>
          </w:p>
        </w:tc>
      </w:tr>
      <w:tr>
        <w:tc>
          <w:tcPr>
            <w:tcW w:type="dxa" w:w="1152"/>
          </w:tcPr>
          <w:p>
            <w:pPr>
              <w:spacing w:after="0"/>
            </w:pPr>
            <w:r/>
            <w:r>
              <w:rPr>
                <w:b w:val="0"/>
                <w:sz w:val="18"/>
              </w:rPr>
              <w:t>Sec. 45-B</w:t>
            </w:r>
          </w:p>
        </w:tc>
        <w:tc>
          <w:tcPr>
            <w:tcW w:type="dxa" w:w="1872"/>
          </w:tcPr>
          <w:p>
            <w:pPr>
              <w:spacing w:after="0"/>
            </w:pPr>
            <w:r/>
            <w:r>
              <w:rPr>
                <w:b w:val="0"/>
                <w:sz w:val="18"/>
              </w:rPr>
              <w:t>Constitution of Central Valuation Committee</w:t>
            </w:r>
          </w:p>
        </w:tc>
        <w:tc>
          <w:tcPr>
            <w:tcW w:type="dxa" w:w="4176"/>
          </w:tcPr>
          <w:p>
            <w:pPr>
              <w:spacing w:after="0"/>
            </w:pPr>
            <w:r/>
            <w:r>
              <w:rPr>
                <w:b w:val="0"/>
                <w:sz w:val="18"/>
              </w:rPr>
              <w:t>CVC under the IGR &amp; Commissioner of Stamps estimates, publishes and revises market value guidelines for the purpose of Sec. 45-A; final authority on policy, methodology and administration; may constitute district / sub-district market valuation sub-committees</w:t>
            </w:r>
          </w:p>
        </w:tc>
        <w:tc>
          <w:tcPr>
            <w:tcW w:type="dxa" w:w="2160"/>
          </w:tcPr>
          <w:p>
            <w:pPr>
              <w:spacing w:after="0"/>
            </w:pPr>
            <w:r/>
            <w:r>
              <w:rPr>
                <w:b w:val="0"/>
                <w:sz w:val="18"/>
              </w:rPr>
              <w:t>7.1 step 6 (rates consumed); upstream process — BRD-K3-CVC-GVF-001</w:t>
            </w:r>
          </w:p>
        </w:tc>
      </w:tr>
    </w:tbl>
    <w:p/>
    <w:p>
      <w:pPr>
        <w:pStyle w:val="Heading3"/>
      </w:pPr>
      <w:r>
        <w:t>3.3 Relevant rules</w:t>
      </w:r>
    </w:p>
    <w:p>
      <w:pPr/>
      <w:r>
        <w:t>Karnataka Stamp (Prevention of Undervaluation of Instruments) Rules, 1977 — made under the rule-making power for the manner of holding inquiry under Sec. 45-A(2) and (3). Rule numbers below are to be confirmed against the notified Rules text before sign-off.</w:t>
      </w:r>
    </w:p>
    <w:tbl>
      <w:tblPr>
        <w:tblStyle w:val="TableGrid"/>
        <w:tblW w:type="auto" w:w="0"/>
        <w:tblLook w:firstColumn="1" w:firstRow="1" w:lastColumn="0" w:lastRow="0" w:noHBand="0" w:noVBand="1" w:val="04A0"/>
      </w:tblPr>
      <w:tblGrid>
        <w:gridCol w:w="3408"/>
        <w:gridCol w:w="3408"/>
        <w:gridCol w:w="3408"/>
      </w:tblGrid>
      <w:tr>
        <w:tc>
          <w:tcPr>
            <w:tcW w:type="dxa" w:w="2592"/>
            <w:shd w:val="clear" w:color="auto" w:fill="D9E2F3"/>
          </w:tcPr>
          <w:p>
            <w:pPr>
              <w:spacing w:after="0"/>
            </w:pPr>
            <w:r/>
            <w:r>
              <w:rPr>
                <w:b/>
                <w:sz w:val="18"/>
              </w:rPr>
              <w:t>Rule / provision</w:t>
            </w:r>
          </w:p>
        </w:tc>
        <w:tc>
          <w:tcPr>
            <w:tcW w:type="dxa" w:w="4608"/>
            <w:shd w:val="clear" w:color="auto" w:fill="D9E2F3"/>
          </w:tcPr>
          <w:p>
            <w:pPr>
              <w:spacing w:after="0"/>
            </w:pPr>
            <w:r/>
            <w:r>
              <w:rPr>
                <w:b/>
                <w:sz w:val="18"/>
              </w:rPr>
              <w:t>Requirement</w:t>
            </w:r>
          </w:p>
        </w:tc>
        <w:tc>
          <w:tcPr>
            <w:tcW w:type="dxa" w:w="2160"/>
            <w:shd w:val="clear" w:color="auto" w:fill="D9E2F3"/>
          </w:tcPr>
          <w:p>
            <w:pPr>
              <w:spacing w:after="0"/>
            </w:pPr>
            <w:r/>
            <w:r>
              <w:rPr>
                <w:b/>
                <w:sz w:val="18"/>
              </w:rPr>
              <w:t>Refer section 7 for Implementation</w:t>
            </w:r>
          </w:p>
        </w:tc>
      </w:tr>
      <w:tr>
        <w:tc>
          <w:tcPr>
            <w:tcW w:type="dxa" w:w="2592"/>
          </w:tcPr>
          <w:p>
            <w:pPr>
              <w:spacing w:after="0"/>
            </w:pPr>
            <w:r/>
            <w:r>
              <w:rPr>
                <w:b w:val="0"/>
                <w:sz w:val="18"/>
              </w:rPr>
              <w:t>Reference procedure (Sec. 45-A(1))</w:t>
            </w:r>
          </w:p>
        </w:tc>
        <w:tc>
          <w:tcPr>
            <w:tcW w:type="dxa" w:w="4608"/>
          </w:tcPr>
          <w:p>
            <w:pPr>
              <w:spacing w:after="0"/>
            </w:pPr>
            <w:r/>
            <w:r>
              <w:rPr>
                <w:b w:val="0"/>
                <w:sz w:val="18"/>
              </w:rPr>
              <w:t>Registering officer refers the undervalued instrument to the Deputy Commissioner with a copy of the instrument and the property particulars</w:t>
            </w:r>
          </w:p>
        </w:tc>
        <w:tc>
          <w:tcPr>
            <w:tcW w:type="dxa" w:w="2160"/>
          </w:tcPr>
          <w:p>
            <w:pPr>
              <w:spacing w:after="0"/>
            </w:pPr>
            <w:r/>
            <w:r>
              <w:rPr>
                <w:b w:val="0"/>
                <w:sz w:val="18"/>
              </w:rPr>
              <w:t>7.2 step 4</w:t>
            </w:r>
          </w:p>
        </w:tc>
      </w:tr>
      <w:tr>
        <w:tc>
          <w:tcPr>
            <w:tcW w:type="dxa" w:w="2592"/>
          </w:tcPr>
          <w:p>
            <w:pPr>
              <w:spacing w:after="0"/>
            </w:pPr>
            <w:r/>
            <w:r>
              <w:rPr>
                <w:b w:val="0"/>
                <w:sz w:val="18"/>
              </w:rPr>
              <w:t>Form I</w:t>
            </w:r>
          </w:p>
        </w:tc>
        <w:tc>
          <w:tcPr>
            <w:tcW w:type="dxa" w:w="4608"/>
          </w:tcPr>
          <w:p>
            <w:pPr>
              <w:spacing w:after="0"/>
            </w:pPr>
            <w:r/>
            <w:r>
              <w:rPr>
                <w:b w:val="0"/>
                <w:sz w:val="18"/>
              </w:rPr>
              <w:t>Statement of property particulars and market value (survey / location, extent, nature, consideration, estimated market value and reasons) to accompany the reference</w:t>
            </w:r>
          </w:p>
        </w:tc>
        <w:tc>
          <w:tcPr>
            <w:tcW w:type="dxa" w:w="2160"/>
          </w:tcPr>
          <w:p>
            <w:pPr>
              <w:spacing w:after="0"/>
            </w:pPr>
            <w:r/>
            <w:r>
              <w:rPr>
                <w:b w:val="0"/>
                <w:sz w:val="18"/>
              </w:rPr>
              <w:t>7.2 step 4; 3.6 forms mapping</w:t>
            </w:r>
          </w:p>
        </w:tc>
      </w:tr>
      <w:tr>
        <w:tc>
          <w:tcPr>
            <w:tcW w:type="dxa" w:w="2592"/>
          </w:tcPr>
          <w:p>
            <w:pPr>
              <w:spacing w:after="0"/>
            </w:pPr>
            <w:r/>
            <w:r>
              <w:rPr>
                <w:b w:val="0"/>
                <w:sz w:val="18"/>
              </w:rPr>
              <w:t>Inquiry and order (Sec. 45-A(2)/(3))</w:t>
            </w:r>
          </w:p>
        </w:tc>
        <w:tc>
          <w:tcPr>
            <w:tcW w:type="dxa" w:w="4608"/>
          </w:tcPr>
          <w:p>
            <w:pPr>
              <w:spacing w:after="0"/>
            </w:pPr>
            <w:r/>
            <w:r>
              <w:rPr>
                <w:b w:val="0"/>
                <w:sz w:val="18"/>
              </w:rPr>
              <w:t>Notice to parties, hearing, inquiry and written order determining market value and duty payable</w:t>
            </w:r>
          </w:p>
        </w:tc>
        <w:tc>
          <w:tcPr>
            <w:tcW w:type="dxa" w:w="2160"/>
          </w:tcPr>
          <w:p>
            <w:pPr>
              <w:spacing w:after="0"/>
            </w:pPr>
            <w:r/>
            <w:r>
              <w:rPr>
                <w:b w:val="0"/>
                <w:sz w:val="18"/>
              </w:rPr>
              <w:t>7.2 steps 5–7</w:t>
            </w:r>
          </w:p>
        </w:tc>
      </w:tr>
      <w:tr>
        <w:tc>
          <w:tcPr>
            <w:tcW w:type="dxa" w:w="2592"/>
          </w:tcPr>
          <w:p>
            <w:pPr>
              <w:spacing w:after="0"/>
            </w:pPr>
            <w:r/>
            <w:r>
              <w:rPr>
                <w:b w:val="0"/>
                <w:sz w:val="18"/>
              </w:rPr>
              <w:t>Appeal (Sec. 45-A(5))</w:t>
            </w:r>
          </w:p>
        </w:tc>
        <w:tc>
          <w:tcPr>
            <w:tcW w:type="dxa" w:w="4608"/>
          </w:tcPr>
          <w:p>
            <w:pPr>
              <w:spacing w:after="0"/>
            </w:pPr>
            <w:r/>
            <w:r>
              <w:rPr>
                <w:b w:val="0"/>
                <w:sz w:val="18"/>
              </w:rPr>
              <w:t>Appeal to the Regional Commissioner within the prescribed time with proof of 50% deposit; hearing and disposal; remand to DC where ordered</w:t>
            </w:r>
          </w:p>
        </w:tc>
        <w:tc>
          <w:tcPr>
            <w:tcW w:type="dxa" w:w="2160"/>
          </w:tcPr>
          <w:p>
            <w:pPr>
              <w:spacing w:after="0"/>
            </w:pPr>
            <w:r/>
            <w:r>
              <w:rPr>
                <w:b w:val="0"/>
                <w:sz w:val="18"/>
              </w:rPr>
              <w:t>7.2 steps 8–10</w:t>
            </w:r>
          </w:p>
        </w:tc>
      </w:tr>
      <w:tr>
        <w:tc>
          <w:tcPr>
            <w:tcW w:type="dxa" w:w="2592"/>
          </w:tcPr>
          <w:p>
            <w:pPr>
              <w:spacing w:after="0"/>
            </w:pPr>
            <w:r/>
            <w:r>
              <w:rPr>
                <w:b w:val="0"/>
                <w:sz w:val="18"/>
              </w:rPr>
              <w:t>Amendment RD 264 MUNOMU 99 (18-08-1999)</w:t>
            </w:r>
          </w:p>
        </w:tc>
        <w:tc>
          <w:tcPr>
            <w:tcW w:type="dxa" w:w="4608"/>
          </w:tcPr>
          <w:p>
            <w:pPr>
              <w:spacing w:after="0"/>
            </w:pPr>
            <w:r/>
            <w:r>
              <w:rPr>
                <w:b w:val="0"/>
                <w:sz w:val="18"/>
              </w:rPr>
              <w:t>Workflow follows the Rules as amended; obsolete provisional / Rule 6 path is not implemented</w:t>
            </w:r>
          </w:p>
        </w:tc>
        <w:tc>
          <w:tcPr>
            <w:tcW w:type="dxa" w:w="2160"/>
          </w:tcPr>
          <w:p>
            <w:pPr>
              <w:spacing w:after="0"/>
            </w:pPr>
            <w:r/>
            <w:r>
              <w:rPr>
                <w:b w:val="0"/>
                <w:sz w:val="18"/>
              </w:rPr>
              <w:t>7.2 (status model has no provisional path)</w:t>
            </w:r>
          </w:p>
        </w:tc>
      </w:tr>
    </w:tbl>
    <w:p/>
    <w:p>
      <w:pPr/>
      <w:r>
        <w:t>Karnataka Registration Rules (supporting):</w:t>
      </w:r>
    </w:p>
    <w:tbl>
      <w:tblPr>
        <w:tblStyle w:val="TableGrid"/>
        <w:tblW w:type="auto" w:w="0"/>
        <w:tblLook w:firstColumn="1" w:firstRow="1" w:lastColumn="0" w:lastRow="0" w:noHBand="0" w:noVBand="1" w:val="04A0"/>
      </w:tblPr>
      <w:tblGrid>
        <w:gridCol w:w="3408"/>
        <w:gridCol w:w="3408"/>
        <w:gridCol w:w="3408"/>
      </w:tblGrid>
      <w:tr>
        <w:tc>
          <w:tcPr>
            <w:tcW w:type="dxa" w:w="1728"/>
            <w:shd w:val="clear" w:color="auto" w:fill="D9E2F3"/>
          </w:tcPr>
          <w:p>
            <w:pPr>
              <w:spacing w:after="0"/>
            </w:pPr>
            <w:r/>
            <w:r>
              <w:rPr>
                <w:b/>
                <w:sz w:val="18"/>
              </w:rPr>
              <w:t>Rule</w:t>
            </w:r>
          </w:p>
        </w:tc>
        <w:tc>
          <w:tcPr>
            <w:tcW w:type="dxa" w:w="5472"/>
            <w:shd w:val="clear" w:color="auto" w:fill="D9E2F3"/>
          </w:tcPr>
          <w:p>
            <w:pPr>
              <w:spacing w:after="0"/>
            </w:pPr>
            <w:r/>
            <w:r>
              <w:rPr>
                <w:b/>
                <w:sz w:val="18"/>
              </w:rPr>
              <w:t>Requirement</w:t>
            </w:r>
          </w:p>
        </w:tc>
        <w:tc>
          <w:tcPr>
            <w:tcW w:type="dxa" w:w="2160"/>
            <w:shd w:val="clear" w:color="auto" w:fill="D9E2F3"/>
          </w:tcPr>
          <w:p>
            <w:pPr>
              <w:spacing w:after="0"/>
            </w:pPr>
            <w:r/>
            <w:r>
              <w:rPr>
                <w:b/>
                <w:sz w:val="18"/>
              </w:rPr>
              <w:t>Refer section 7 for Implementation</w:t>
            </w:r>
          </w:p>
        </w:tc>
      </w:tr>
      <w:tr>
        <w:tc>
          <w:tcPr>
            <w:tcW w:type="dxa" w:w="1728"/>
          </w:tcPr>
          <w:p>
            <w:pPr>
              <w:spacing w:after="0"/>
            </w:pPr>
            <w:r/>
            <w:r>
              <w:rPr>
                <w:b w:val="0"/>
                <w:sz w:val="18"/>
              </w:rPr>
              <w:t>Rules 13–15</w:t>
            </w:r>
          </w:p>
        </w:tc>
        <w:tc>
          <w:tcPr>
            <w:tcW w:type="dxa" w:w="5472"/>
          </w:tcPr>
          <w:p>
            <w:pPr>
              <w:spacing w:after="0"/>
            </w:pPr>
            <w:r/>
            <w:r>
              <w:rPr>
                <w:b w:val="0"/>
                <w:sz w:val="18"/>
              </w:rPr>
              <w:t>Property described by territorial divisions (district, taluk, village / town / ward) and survey particulars (survey number, Pot Hissa / sub-division, city survey number), with extent and boundaries — needed to locate the property and select the correct guideline rate</w:t>
            </w:r>
          </w:p>
        </w:tc>
        <w:tc>
          <w:tcPr>
            <w:tcW w:type="dxa" w:w="2160"/>
          </w:tcPr>
          <w:p>
            <w:pPr>
              <w:spacing w:after="0"/>
            </w:pPr>
            <w:r/>
            <w:r>
              <w:rPr>
                <w:b w:val="0"/>
                <w:sz w:val="18"/>
              </w:rPr>
              <w:t>7.1 steps 1–2; 8.1</w:t>
            </w:r>
          </w:p>
        </w:tc>
      </w:tr>
    </w:tbl>
    <w:p/>
    <w:p>
      <w:pPr>
        <w:pStyle w:val="Heading3"/>
      </w:pPr>
      <w:r>
        <w:t>3.4 Relevant notifications and amendments</w:t>
      </w:r>
    </w:p>
    <w:p>
      <w:pPr/>
      <w:r>
        <w:t>Gazette notifications and amending Acts cited in the Karnataka Stamp Act, 1957 and the Undervaluation Rules. Each instrument is also cross-referenced on the related section rows in 3.2–3.3.</w:t>
      </w:r>
    </w:p>
    <w:tbl>
      <w:tblPr>
        <w:tblStyle w:val="TableGrid"/>
        <w:tblW w:type="auto" w:w="0"/>
        <w:tblLook w:firstColumn="1" w:firstRow="1" w:lastColumn="0" w:lastRow="0" w:noHBand="0" w:noVBand="1" w:val="04A0"/>
      </w:tblPr>
      <w:tblGrid>
        <w:gridCol w:w="2556"/>
        <w:gridCol w:w="2556"/>
        <w:gridCol w:w="2556"/>
        <w:gridCol w:w="2556"/>
      </w:tblGrid>
      <w:tr>
        <w:tc>
          <w:tcPr>
            <w:tcW w:type="dxa" w:w="2736"/>
            <w:shd w:val="clear" w:color="auto" w:fill="D9E2F3"/>
          </w:tcPr>
          <w:p>
            <w:pPr>
              <w:spacing w:after="0"/>
            </w:pPr>
            <w:r/>
            <w:r>
              <w:rPr>
                <w:b/>
                <w:sz w:val="18"/>
              </w:rPr>
              <w:t>Instrument</w:t>
            </w:r>
          </w:p>
        </w:tc>
        <w:tc>
          <w:tcPr>
            <w:tcW w:type="dxa" w:w="1584"/>
            <w:shd w:val="clear" w:color="auto" w:fill="D9E2F3"/>
          </w:tcPr>
          <w:p>
            <w:pPr>
              <w:spacing w:after="0"/>
            </w:pPr>
            <w:r/>
            <w:r>
              <w:rPr>
                <w:b/>
                <w:sz w:val="18"/>
              </w:rPr>
              <w:t>Date / No.</w:t>
            </w:r>
          </w:p>
        </w:tc>
        <w:tc>
          <w:tcPr>
            <w:tcW w:type="dxa" w:w="3312"/>
            <w:shd w:val="clear" w:color="auto" w:fill="D9E2F3"/>
          </w:tcPr>
          <w:p>
            <w:pPr>
              <w:spacing w:after="0"/>
            </w:pPr>
            <w:r/>
            <w:r>
              <w:rPr>
                <w:b/>
                <w:sz w:val="18"/>
              </w:rPr>
              <w:t>Effect</w:t>
            </w:r>
          </w:p>
        </w:tc>
        <w:tc>
          <w:tcPr>
            <w:tcW w:type="dxa" w:w="1728"/>
            <w:shd w:val="clear" w:color="auto" w:fill="D9E2F3"/>
          </w:tcPr>
          <w:p>
            <w:pPr>
              <w:spacing w:after="0"/>
            </w:pPr>
            <w:r/>
            <w:r>
              <w:rPr>
                <w:b/>
                <w:sz w:val="18"/>
              </w:rPr>
              <w:t>Refer section 7 for Implementation</w:t>
            </w:r>
          </w:p>
        </w:tc>
      </w:tr>
      <w:tr>
        <w:tc>
          <w:tcPr>
            <w:tcW w:type="dxa" w:w="2736"/>
          </w:tcPr>
          <w:p>
            <w:pPr>
              <w:spacing w:after="0"/>
            </w:pPr>
            <w:r/>
            <w:r>
              <w:rPr>
                <w:b w:val="0"/>
                <w:sz w:val="18"/>
              </w:rPr>
              <w:t>Karnataka Stamp (Prevention of Undervaluation of Instruments) Rules, 1977</w:t>
            </w:r>
          </w:p>
        </w:tc>
        <w:tc>
          <w:tcPr>
            <w:tcW w:type="dxa" w:w="1584"/>
          </w:tcPr>
          <w:p>
            <w:pPr>
              <w:spacing w:after="0"/>
            </w:pPr>
            <w:r/>
            <w:r>
              <w:rPr>
                <w:b w:val="0"/>
                <w:sz w:val="18"/>
              </w:rPr>
              <w:t>GSR 81 / RD 73 EST 74</w:t>
            </w:r>
          </w:p>
        </w:tc>
        <w:tc>
          <w:tcPr>
            <w:tcW w:type="dxa" w:w="3312"/>
          </w:tcPr>
          <w:p>
            <w:pPr>
              <w:spacing w:after="0"/>
            </w:pPr>
            <w:r/>
            <w:r>
              <w:rPr>
                <w:b w:val="0"/>
                <w:sz w:val="18"/>
              </w:rPr>
              <w:t>Original notification of the Undervaluation Rules (Form I, reference, inquiry, appeal)</w:t>
            </w:r>
          </w:p>
        </w:tc>
        <w:tc>
          <w:tcPr>
            <w:tcW w:type="dxa" w:w="1728"/>
          </w:tcPr>
          <w:p>
            <w:pPr>
              <w:spacing w:after="0"/>
            </w:pPr>
            <w:r/>
            <w:r>
              <w:rPr>
                <w:b w:val="0"/>
                <w:sz w:val="18"/>
              </w:rPr>
              <w:t>7.2</w:t>
            </w:r>
          </w:p>
        </w:tc>
      </w:tr>
      <w:tr>
        <w:tc>
          <w:tcPr>
            <w:tcW w:type="dxa" w:w="2736"/>
          </w:tcPr>
          <w:p>
            <w:pPr>
              <w:spacing w:after="0"/>
            </w:pPr>
            <w:r/>
            <w:r>
              <w:rPr>
                <w:b w:val="0"/>
                <w:sz w:val="18"/>
              </w:rPr>
              <w:t>RD 264 MUNOMU 99</w:t>
            </w:r>
          </w:p>
        </w:tc>
        <w:tc>
          <w:tcPr>
            <w:tcW w:type="dxa" w:w="1584"/>
          </w:tcPr>
          <w:p>
            <w:pPr>
              <w:spacing w:after="0"/>
            </w:pPr>
            <w:r/>
            <w:r>
              <w:rPr>
                <w:b w:val="0"/>
                <w:sz w:val="18"/>
              </w:rPr>
              <w:t>18-08-1999</w:t>
            </w:r>
          </w:p>
        </w:tc>
        <w:tc>
          <w:tcPr>
            <w:tcW w:type="dxa" w:w="3312"/>
          </w:tcPr>
          <w:p>
            <w:pPr>
              <w:spacing w:after="0"/>
            </w:pPr>
            <w:r/>
            <w:r>
              <w:rPr>
                <w:b w:val="0"/>
                <w:sz w:val="18"/>
              </w:rPr>
              <w:t>Amendments to the Undervaluation Rules; removes the provisional / Rule 6 path</w:t>
            </w:r>
          </w:p>
        </w:tc>
        <w:tc>
          <w:tcPr>
            <w:tcW w:type="dxa" w:w="1728"/>
          </w:tcPr>
          <w:p>
            <w:pPr>
              <w:spacing w:after="0"/>
            </w:pPr>
            <w:r/>
            <w:r>
              <w:rPr>
                <w:b w:val="0"/>
                <w:sz w:val="18"/>
              </w:rPr>
              <w:t>7.2 (no provisional path)</w:t>
            </w:r>
          </w:p>
        </w:tc>
      </w:tr>
      <w:tr>
        <w:tc>
          <w:tcPr>
            <w:tcW w:type="dxa" w:w="2736"/>
          </w:tcPr>
          <w:p>
            <w:pPr>
              <w:spacing w:after="0"/>
            </w:pPr>
            <w:r/>
            <w:r>
              <w:rPr>
                <w:b w:val="0"/>
                <w:sz w:val="18"/>
              </w:rPr>
              <w:t>Act No. 24 of 1999</w:t>
            </w:r>
          </w:p>
        </w:tc>
        <w:tc>
          <w:tcPr>
            <w:tcW w:type="dxa" w:w="1584"/>
          </w:tcPr>
          <w:p>
            <w:pPr>
              <w:spacing w:after="0"/>
            </w:pPr>
            <w:r/>
            <w:r>
              <w:rPr>
                <w:b w:val="0"/>
                <w:sz w:val="18"/>
              </w:rPr>
              <w:t>w.e.f. 18-08-1999</w:t>
            </w:r>
          </w:p>
        </w:tc>
        <w:tc>
          <w:tcPr>
            <w:tcW w:type="dxa" w:w="3312"/>
          </w:tcPr>
          <w:p>
            <w:pPr>
              <w:spacing w:after="0"/>
            </w:pPr>
            <w:r/>
            <w:r>
              <w:rPr>
                <w:b w:val="0"/>
                <w:sz w:val="18"/>
              </w:rPr>
              <w:t>Substituted Sec. 45-A(1); 90-day DC determination; 50% pre-deposit and refund provisos for appeal</w:t>
            </w:r>
          </w:p>
        </w:tc>
        <w:tc>
          <w:tcPr>
            <w:tcW w:type="dxa" w:w="1728"/>
          </w:tcPr>
          <w:p>
            <w:pPr>
              <w:spacing w:after="0"/>
            </w:pPr>
            <w:r/>
            <w:r>
              <w:rPr>
                <w:b w:val="0"/>
                <w:sz w:val="18"/>
              </w:rPr>
              <w:t>7.2 steps 4, 6, 9, 11</w:t>
            </w:r>
          </w:p>
        </w:tc>
      </w:tr>
      <w:tr>
        <w:tc>
          <w:tcPr>
            <w:tcW w:type="dxa" w:w="2736"/>
          </w:tcPr>
          <w:p>
            <w:pPr>
              <w:spacing w:after="0"/>
            </w:pPr>
            <w:r/>
            <w:r>
              <w:rPr>
                <w:b w:val="0"/>
                <w:sz w:val="18"/>
              </w:rPr>
              <w:t>Act No. 8 of 2003</w:t>
            </w:r>
          </w:p>
        </w:tc>
        <w:tc>
          <w:tcPr>
            <w:tcW w:type="dxa" w:w="1584"/>
          </w:tcPr>
          <w:p>
            <w:pPr>
              <w:spacing w:after="0"/>
            </w:pPr>
            <w:r/>
            <w:r>
              <w:rPr>
                <w:b w:val="0"/>
                <w:sz w:val="18"/>
              </w:rPr>
              <w:t>w.e.f. 01-04-2003</w:t>
            </w:r>
          </w:p>
        </w:tc>
        <w:tc>
          <w:tcPr>
            <w:tcW w:type="dxa" w:w="3312"/>
          </w:tcPr>
          <w:p>
            <w:pPr>
              <w:spacing w:after="0"/>
            </w:pPr>
            <w:r/>
            <w:r>
              <w:rPr>
                <w:b w:val="0"/>
                <w:sz w:val="18"/>
              </w:rPr>
              <w:t>Substituted Sec. 2(mm) (market value — higher of open-market value and consideration; Government proviso); strengthened Sec. 45-B CVC framework; substituted the third proviso to Sec. 45-A(5)</w:t>
            </w:r>
          </w:p>
        </w:tc>
        <w:tc>
          <w:tcPr>
            <w:tcW w:type="dxa" w:w="1728"/>
          </w:tcPr>
          <w:p>
            <w:pPr>
              <w:spacing w:after="0"/>
            </w:pPr>
            <w:r/>
            <w:r>
              <w:rPr>
                <w:b w:val="0"/>
                <w:sz w:val="18"/>
              </w:rPr>
              <w:t>7.1 steps 6, 10; 7.2 step 11</w:t>
            </w:r>
          </w:p>
        </w:tc>
      </w:tr>
      <w:tr>
        <w:tc>
          <w:tcPr>
            <w:tcW w:type="dxa" w:w="2736"/>
          </w:tcPr>
          <w:p>
            <w:pPr>
              <w:spacing w:after="0"/>
            </w:pPr>
            <w:r/>
            <w:r>
              <w:rPr>
                <w:b w:val="0"/>
                <w:sz w:val="18"/>
              </w:rPr>
              <w:t>Act No. 7 of 2006</w:t>
            </w:r>
          </w:p>
        </w:tc>
        <w:tc>
          <w:tcPr>
            <w:tcW w:type="dxa" w:w="1584"/>
          </w:tcPr>
          <w:p>
            <w:pPr>
              <w:spacing w:after="0"/>
            </w:pPr>
            <w:r/>
            <w:r>
              <w:rPr>
                <w:b w:val="0"/>
                <w:sz w:val="18"/>
              </w:rPr>
              <w:t>w.e.f. 01-04-2006</w:t>
            </w:r>
          </w:p>
        </w:tc>
        <w:tc>
          <w:tcPr>
            <w:tcW w:type="dxa" w:w="3312"/>
          </w:tcPr>
          <w:p>
            <w:pPr>
              <w:spacing w:after="0"/>
            </w:pPr>
            <w:r/>
            <w:r>
              <w:rPr>
                <w:b w:val="0"/>
                <w:sz w:val="18"/>
              </w:rPr>
              <w:t>12% p.a. interest on duty difference if unpaid within 90 days of DC order; not applicable to instruments executed before 31-03-2006</w:t>
            </w:r>
          </w:p>
        </w:tc>
        <w:tc>
          <w:tcPr>
            <w:tcW w:type="dxa" w:w="1728"/>
          </w:tcPr>
          <w:p>
            <w:pPr>
              <w:spacing w:after="0"/>
            </w:pPr>
            <w:r/>
            <w:r>
              <w:rPr>
                <w:b w:val="0"/>
                <w:sz w:val="18"/>
              </w:rPr>
              <w:t>7.2 step 11</w:t>
            </w:r>
          </w:p>
        </w:tc>
      </w:tr>
      <w:tr>
        <w:tc>
          <w:tcPr>
            <w:tcW w:type="dxa" w:w="2736"/>
          </w:tcPr>
          <w:p>
            <w:pPr>
              <w:spacing w:after="0"/>
            </w:pPr>
            <w:r/>
            <w:r>
              <w:rPr>
                <w:b w:val="0"/>
                <w:sz w:val="18"/>
              </w:rPr>
              <w:t>Act No. 7 of 2007</w:t>
            </w:r>
          </w:p>
        </w:tc>
        <w:tc>
          <w:tcPr>
            <w:tcW w:type="dxa" w:w="1584"/>
          </w:tcPr>
          <w:p>
            <w:pPr>
              <w:spacing w:after="0"/>
            </w:pPr>
            <w:r/>
            <w:r>
              <w:rPr>
                <w:b w:val="0"/>
                <w:sz w:val="18"/>
              </w:rPr>
              <w:t>w.e.f. 01-04-2007</w:t>
            </w:r>
          </w:p>
        </w:tc>
        <w:tc>
          <w:tcPr>
            <w:tcW w:type="dxa" w:w="3312"/>
          </w:tcPr>
          <w:p>
            <w:pPr>
              <w:spacing w:after="0"/>
            </w:pPr>
            <w:r/>
            <w:r>
              <w:rPr>
                <w:b w:val="0"/>
                <w:sz w:val="18"/>
              </w:rPr>
              <w:t>Added Agreement (Art. 5(f)), Award (Art. 11(a)) and Trust (Art. 54(A)(iii)) to Sec. 45-A(1); Release reference to Art. 45(a)</w:t>
            </w:r>
          </w:p>
        </w:tc>
        <w:tc>
          <w:tcPr>
            <w:tcW w:type="dxa" w:w="1728"/>
          </w:tcPr>
          <w:p>
            <w:pPr>
              <w:spacing w:after="0"/>
            </w:pPr>
            <w:r/>
            <w:r>
              <w:rPr>
                <w:b w:val="0"/>
                <w:sz w:val="18"/>
              </w:rPr>
              <w:t>3.5; 7.2 step 1</w:t>
            </w:r>
          </w:p>
        </w:tc>
      </w:tr>
      <w:tr>
        <w:tc>
          <w:tcPr>
            <w:tcW w:type="dxa" w:w="2736"/>
          </w:tcPr>
          <w:p>
            <w:pPr>
              <w:spacing w:after="0"/>
            </w:pPr>
            <w:r/>
            <w:r>
              <w:rPr>
                <w:b w:val="0"/>
                <w:sz w:val="18"/>
              </w:rPr>
              <w:t>Act No. 17 of 2007</w:t>
            </w:r>
          </w:p>
        </w:tc>
        <w:tc>
          <w:tcPr>
            <w:tcW w:type="dxa" w:w="1584"/>
          </w:tcPr>
          <w:p>
            <w:pPr>
              <w:spacing w:after="0"/>
            </w:pPr>
            <w:r/>
            <w:r>
              <w:rPr>
                <w:b w:val="0"/>
                <w:sz w:val="18"/>
              </w:rPr>
              <w:t>deemed w.e.f. 05-01-2007</w:t>
            </w:r>
          </w:p>
        </w:tc>
        <w:tc>
          <w:tcPr>
            <w:tcW w:type="dxa" w:w="3312"/>
          </w:tcPr>
          <w:p>
            <w:pPr>
              <w:spacing w:after="0"/>
            </w:pPr>
            <w:r/>
            <w:r>
              <w:rPr>
                <w:b w:val="0"/>
                <w:sz w:val="18"/>
              </w:rPr>
              <w:t>Appellate authority under Sec. 45-A(5) is the Regional Commissioner</w:t>
            </w:r>
          </w:p>
        </w:tc>
        <w:tc>
          <w:tcPr>
            <w:tcW w:type="dxa" w:w="1728"/>
          </w:tcPr>
          <w:p>
            <w:pPr>
              <w:spacing w:after="0"/>
            </w:pPr>
            <w:r/>
            <w:r>
              <w:rPr>
                <w:b w:val="0"/>
                <w:sz w:val="18"/>
              </w:rPr>
              <w:t>7.2 steps 9–10</w:t>
            </w:r>
          </w:p>
        </w:tc>
      </w:tr>
      <w:tr>
        <w:tc>
          <w:tcPr>
            <w:tcW w:type="dxa" w:w="2736"/>
          </w:tcPr>
          <w:p>
            <w:pPr>
              <w:spacing w:after="0"/>
            </w:pPr>
            <w:r/>
            <w:r>
              <w:rPr>
                <w:b w:val="0"/>
                <w:sz w:val="18"/>
              </w:rPr>
              <w:t>Act No. 9 of 2009 / Act No. 8 of 2010</w:t>
            </w:r>
          </w:p>
        </w:tc>
        <w:tc>
          <w:tcPr>
            <w:tcW w:type="dxa" w:w="1584"/>
          </w:tcPr>
          <w:p>
            <w:pPr>
              <w:spacing w:after="0"/>
            </w:pPr>
            <w:r/>
            <w:r>
              <w:rPr>
                <w:b w:val="0"/>
                <w:sz w:val="18"/>
              </w:rPr>
              <w:t>w.e.f. 01-04-2009 / 01-04-2010</w:t>
            </w:r>
          </w:p>
        </w:tc>
        <w:tc>
          <w:tcPr>
            <w:tcW w:type="dxa" w:w="3312"/>
          </w:tcPr>
          <w:p>
            <w:pPr>
              <w:spacing w:after="0"/>
            </w:pPr>
            <w:r/>
            <w:r>
              <w:rPr>
                <w:b w:val="0"/>
                <w:sz w:val="18"/>
              </w:rPr>
              <w:t>Lease (Art. 30(vi)), Power of Attorney (Art. 41(e)/(ea)/(eb)) and Transferable Development Rights (Art. 20(7)) brought under Sec. 45-A(1)</w:t>
            </w:r>
          </w:p>
        </w:tc>
        <w:tc>
          <w:tcPr>
            <w:tcW w:type="dxa" w:w="1728"/>
          </w:tcPr>
          <w:p>
            <w:pPr>
              <w:spacing w:after="0"/>
            </w:pPr>
            <w:r/>
            <w:r>
              <w:rPr>
                <w:b w:val="0"/>
                <w:sz w:val="18"/>
              </w:rPr>
              <w:t>3.5; 7.2 step 1</w:t>
            </w:r>
          </w:p>
        </w:tc>
      </w:tr>
      <w:tr>
        <w:tc>
          <w:tcPr>
            <w:tcW w:type="dxa" w:w="2736"/>
          </w:tcPr>
          <w:p>
            <w:pPr>
              <w:spacing w:after="0"/>
            </w:pPr>
            <w:r/>
            <w:r>
              <w:rPr>
                <w:b w:val="0"/>
                <w:sz w:val="18"/>
              </w:rPr>
              <w:t>CVC market value guideline notifications</w:t>
            </w:r>
          </w:p>
        </w:tc>
        <w:tc>
          <w:tcPr>
            <w:tcW w:type="dxa" w:w="1584"/>
          </w:tcPr>
          <w:p>
            <w:pPr>
              <w:spacing w:after="0"/>
            </w:pPr>
            <w:r/>
            <w:r>
              <w:rPr>
                <w:b w:val="0"/>
                <w:sz w:val="18"/>
              </w:rPr>
              <w:t>Per revision cycle (gazette effective date)</w:t>
            </w:r>
          </w:p>
        </w:tc>
        <w:tc>
          <w:tcPr>
            <w:tcW w:type="dxa" w:w="3312"/>
          </w:tcPr>
          <w:p>
            <w:pPr>
              <w:spacing w:after="0"/>
            </w:pPr>
            <w:r/>
            <w:r>
              <w:rPr>
                <w:b w:val="0"/>
                <w:sz w:val="18"/>
              </w:rPr>
              <w:t>Published guideline rates applied from the effective date; consumed as Active rate versions</w:t>
            </w:r>
          </w:p>
        </w:tc>
        <w:tc>
          <w:tcPr>
            <w:tcW w:type="dxa" w:w="1728"/>
          </w:tcPr>
          <w:p>
            <w:pPr>
              <w:spacing w:after="0"/>
            </w:pPr>
            <w:r/>
            <w:r>
              <w:rPr>
                <w:b w:val="0"/>
                <w:sz w:val="18"/>
              </w:rPr>
              <w:t>7.1 step 6; BRD-K3-CVC-GVF-001</w:t>
            </w:r>
          </w:p>
        </w:tc>
      </w:tr>
    </w:tbl>
    <w:p/>
    <w:p>
      <w:pPr>
        <w:pStyle w:val="Heading3"/>
      </w:pPr>
      <w:r>
        <w:t>3.5 Instruments covered by Sec. 45-A(1)</w:t>
      </w:r>
    </w:p>
    <w:p>
      <w:pPr/>
      <w:r>
        <w:t>The undervaluation procedure applies only to the following instruments. The list shall be held as a configurable master linked to the Schedule articles.</w:t>
      </w:r>
    </w:p>
    <w:tbl>
      <w:tblPr>
        <w:tblStyle w:val="TableGrid"/>
        <w:tblW w:type="auto" w:w="0"/>
        <w:tblLook w:firstColumn="1" w:firstRow="1" w:lastColumn="0" w:lastRow="0" w:noHBand="0" w:noVBand="1" w:val="04A0"/>
      </w:tblPr>
      <w:tblGrid>
        <w:gridCol w:w="3408"/>
        <w:gridCol w:w="3408"/>
        <w:gridCol w:w="3408"/>
      </w:tblGrid>
      <w:tr>
        <w:tc>
          <w:tcPr>
            <w:tcW w:type="dxa" w:w="1152"/>
            <w:shd w:val="clear" w:color="auto" w:fill="D9E2F3"/>
          </w:tcPr>
          <w:p>
            <w:pPr>
              <w:spacing w:after="0"/>
            </w:pPr>
            <w:r/>
            <w:r>
              <w:rPr>
                <w:b/>
                <w:sz w:val="18"/>
              </w:rPr>
              <w:t>Clause</w:t>
            </w:r>
          </w:p>
        </w:tc>
        <w:tc>
          <w:tcPr>
            <w:tcW w:type="dxa" w:w="5040"/>
            <w:shd w:val="clear" w:color="auto" w:fill="D9E2F3"/>
          </w:tcPr>
          <w:p>
            <w:pPr>
              <w:spacing w:after="0"/>
            </w:pPr>
            <w:r/>
            <w:r>
              <w:rPr>
                <w:b/>
                <w:sz w:val="18"/>
              </w:rPr>
              <w:t>Instrument</w:t>
            </w:r>
          </w:p>
        </w:tc>
        <w:tc>
          <w:tcPr>
            <w:tcW w:type="dxa" w:w="3168"/>
            <w:shd w:val="clear" w:color="auto" w:fill="D9E2F3"/>
          </w:tcPr>
          <w:p>
            <w:pPr>
              <w:spacing w:after="0"/>
            </w:pPr>
            <w:r/>
            <w:r>
              <w:rPr>
                <w:b/>
                <w:sz w:val="18"/>
              </w:rPr>
              <w:t>Article / reference</w:t>
            </w:r>
          </w:p>
        </w:tc>
      </w:tr>
      <w:tr>
        <w:tc>
          <w:tcPr>
            <w:tcW w:type="dxa" w:w="1152"/>
          </w:tcPr>
          <w:p>
            <w:pPr>
              <w:spacing w:after="0"/>
            </w:pPr>
            <w:r/>
            <w:r>
              <w:rPr>
                <w:b w:val="0"/>
                <w:sz w:val="18"/>
              </w:rPr>
              <w:t>(a)</w:t>
            </w:r>
          </w:p>
        </w:tc>
        <w:tc>
          <w:tcPr>
            <w:tcW w:type="dxa" w:w="5040"/>
          </w:tcPr>
          <w:p>
            <w:pPr>
              <w:spacing w:after="0"/>
            </w:pPr>
            <w:r/>
            <w:r>
              <w:rPr>
                <w:b w:val="0"/>
                <w:sz w:val="18"/>
              </w:rPr>
              <w:t>Conveyance</w:t>
            </w:r>
          </w:p>
        </w:tc>
        <w:tc>
          <w:tcPr>
            <w:tcW w:type="dxa" w:w="3168"/>
          </w:tcPr>
          <w:p>
            <w:pPr>
              <w:spacing w:after="0"/>
            </w:pPr>
            <w:r/>
            <w:r>
              <w:rPr>
                <w:b w:val="0"/>
                <w:sz w:val="18"/>
              </w:rPr>
              <w:t>Sec. 2(1)(d)</w:t>
            </w:r>
          </w:p>
        </w:tc>
      </w:tr>
      <w:tr>
        <w:tc>
          <w:tcPr>
            <w:tcW w:type="dxa" w:w="1152"/>
          </w:tcPr>
          <w:p>
            <w:pPr>
              <w:spacing w:after="0"/>
            </w:pPr>
            <w:r/>
            <w:r>
              <w:rPr>
                <w:b w:val="0"/>
                <w:sz w:val="18"/>
              </w:rPr>
              <w:t>(b)</w:t>
            </w:r>
          </w:p>
        </w:tc>
        <w:tc>
          <w:tcPr>
            <w:tcW w:type="dxa" w:w="5040"/>
          </w:tcPr>
          <w:p>
            <w:pPr>
              <w:spacing w:after="0"/>
            </w:pPr>
            <w:r/>
            <w:r>
              <w:rPr>
                <w:b w:val="0"/>
                <w:sz w:val="18"/>
              </w:rPr>
              <w:t>Gift</w:t>
            </w:r>
          </w:p>
        </w:tc>
        <w:tc>
          <w:tcPr>
            <w:tcW w:type="dxa" w:w="3168"/>
          </w:tcPr>
          <w:p>
            <w:pPr>
              <w:spacing w:after="0"/>
            </w:pPr>
            <w:r/>
            <w:r>
              <w:rPr>
                <w:b w:val="0"/>
                <w:sz w:val="18"/>
              </w:rPr>
              <w:t>Art. 28(a)</w:t>
            </w:r>
          </w:p>
        </w:tc>
      </w:tr>
      <w:tr>
        <w:tc>
          <w:tcPr>
            <w:tcW w:type="dxa" w:w="1152"/>
          </w:tcPr>
          <w:p>
            <w:pPr>
              <w:spacing w:after="0"/>
            </w:pPr>
            <w:r/>
            <w:r>
              <w:rPr>
                <w:b w:val="0"/>
                <w:sz w:val="18"/>
              </w:rPr>
              <w:t>(c)</w:t>
            </w:r>
          </w:p>
        </w:tc>
        <w:tc>
          <w:tcPr>
            <w:tcW w:type="dxa" w:w="5040"/>
          </w:tcPr>
          <w:p>
            <w:pPr>
              <w:spacing w:after="0"/>
            </w:pPr>
            <w:r/>
            <w:r>
              <w:rPr>
                <w:b w:val="0"/>
                <w:sz w:val="18"/>
              </w:rPr>
              <w:t>Exchange of property</w:t>
            </w:r>
          </w:p>
        </w:tc>
        <w:tc>
          <w:tcPr>
            <w:tcW w:type="dxa" w:w="3168"/>
          </w:tcPr>
          <w:p>
            <w:pPr>
              <w:spacing w:after="0"/>
            </w:pPr>
            <w:r/>
            <w:r>
              <w:rPr>
                <w:b w:val="0"/>
                <w:sz w:val="18"/>
              </w:rPr>
              <w:t>Art. 26</w:t>
            </w:r>
          </w:p>
        </w:tc>
      </w:tr>
      <w:tr>
        <w:tc>
          <w:tcPr>
            <w:tcW w:type="dxa" w:w="1152"/>
          </w:tcPr>
          <w:p>
            <w:pPr>
              <w:spacing w:after="0"/>
            </w:pPr>
            <w:r/>
            <w:r>
              <w:rPr>
                <w:b w:val="0"/>
                <w:sz w:val="18"/>
              </w:rPr>
              <w:t>(d)</w:t>
            </w:r>
          </w:p>
        </w:tc>
        <w:tc>
          <w:tcPr>
            <w:tcW w:type="dxa" w:w="5040"/>
          </w:tcPr>
          <w:p>
            <w:pPr>
              <w:spacing w:after="0"/>
            </w:pPr>
            <w:r/>
            <w:r>
              <w:rPr>
                <w:b w:val="0"/>
                <w:sz w:val="18"/>
              </w:rPr>
              <w:t>Settlement</w:t>
            </w:r>
          </w:p>
        </w:tc>
        <w:tc>
          <w:tcPr>
            <w:tcW w:type="dxa" w:w="3168"/>
          </w:tcPr>
          <w:p>
            <w:pPr>
              <w:spacing w:after="0"/>
            </w:pPr>
            <w:r/>
            <w:r>
              <w:rPr>
                <w:b w:val="0"/>
                <w:sz w:val="18"/>
              </w:rPr>
              <w:t>Art. 48-A(I)</w:t>
            </w:r>
          </w:p>
        </w:tc>
      </w:tr>
      <w:tr>
        <w:tc>
          <w:tcPr>
            <w:tcW w:type="dxa" w:w="1152"/>
          </w:tcPr>
          <w:p>
            <w:pPr>
              <w:spacing w:after="0"/>
            </w:pPr>
            <w:r/>
            <w:r>
              <w:rPr>
                <w:b w:val="0"/>
                <w:sz w:val="18"/>
              </w:rPr>
              <w:t>(e)</w:t>
            </w:r>
          </w:p>
        </w:tc>
        <w:tc>
          <w:tcPr>
            <w:tcW w:type="dxa" w:w="5040"/>
          </w:tcPr>
          <w:p>
            <w:pPr>
              <w:spacing w:after="0"/>
            </w:pPr>
            <w:r/>
            <w:r>
              <w:rPr>
                <w:b w:val="0"/>
                <w:sz w:val="18"/>
              </w:rPr>
              <w:t>Reconstitution of partnership</w:t>
            </w:r>
          </w:p>
        </w:tc>
        <w:tc>
          <w:tcPr>
            <w:tcW w:type="dxa" w:w="3168"/>
          </w:tcPr>
          <w:p>
            <w:pPr>
              <w:spacing w:after="0"/>
            </w:pPr>
            <w:r/>
            <w:r>
              <w:rPr>
                <w:b w:val="0"/>
                <w:sz w:val="18"/>
              </w:rPr>
              <w:t>Art. 40-B(a)</w:t>
            </w:r>
          </w:p>
        </w:tc>
      </w:tr>
      <w:tr>
        <w:tc>
          <w:tcPr>
            <w:tcW w:type="dxa" w:w="1152"/>
          </w:tcPr>
          <w:p>
            <w:pPr>
              <w:spacing w:after="0"/>
            </w:pPr>
            <w:r/>
            <w:r>
              <w:rPr>
                <w:b w:val="0"/>
                <w:sz w:val="18"/>
              </w:rPr>
              <w:t>(f)</w:t>
            </w:r>
          </w:p>
        </w:tc>
        <w:tc>
          <w:tcPr>
            <w:tcW w:type="dxa" w:w="5040"/>
          </w:tcPr>
          <w:p>
            <w:pPr>
              <w:spacing w:after="0"/>
            </w:pPr>
            <w:r/>
            <w:r>
              <w:rPr>
                <w:b w:val="0"/>
                <w:sz w:val="18"/>
              </w:rPr>
              <w:t>Dissolution of partnership</w:t>
            </w:r>
          </w:p>
        </w:tc>
        <w:tc>
          <w:tcPr>
            <w:tcW w:type="dxa" w:w="3168"/>
          </w:tcPr>
          <w:p>
            <w:pPr>
              <w:spacing w:after="0"/>
            </w:pPr>
            <w:r/>
            <w:r>
              <w:rPr>
                <w:b w:val="0"/>
                <w:sz w:val="18"/>
              </w:rPr>
              <w:t>Art. 40-C(a)</w:t>
            </w:r>
          </w:p>
        </w:tc>
      </w:tr>
      <w:tr>
        <w:tc>
          <w:tcPr>
            <w:tcW w:type="dxa" w:w="1152"/>
          </w:tcPr>
          <w:p>
            <w:pPr>
              <w:spacing w:after="0"/>
            </w:pPr>
            <w:r/>
            <w:r>
              <w:rPr>
                <w:b w:val="0"/>
                <w:sz w:val="18"/>
              </w:rPr>
              <w:t>(g)</w:t>
            </w:r>
          </w:p>
        </w:tc>
        <w:tc>
          <w:tcPr>
            <w:tcW w:type="dxa" w:w="5040"/>
          </w:tcPr>
          <w:p>
            <w:pPr>
              <w:spacing w:after="0"/>
            </w:pPr>
            <w:r/>
            <w:r>
              <w:rPr>
                <w:b w:val="0"/>
                <w:sz w:val="18"/>
              </w:rPr>
              <w:t>Agreement to sell</w:t>
            </w:r>
          </w:p>
        </w:tc>
        <w:tc>
          <w:tcPr>
            <w:tcW w:type="dxa" w:w="3168"/>
          </w:tcPr>
          <w:p>
            <w:pPr>
              <w:spacing w:after="0"/>
            </w:pPr>
            <w:r/>
            <w:r>
              <w:rPr>
                <w:b w:val="0"/>
                <w:sz w:val="18"/>
              </w:rPr>
              <w:t>Art. 5(e)(i)</w:t>
            </w:r>
          </w:p>
        </w:tc>
      </w:tr>
      <w:tr>
        <w:tc>
          <w:tcPr>
            <w:tcW w:type="dxa" w:w="1152"/>
          </w:tcPr>
          <w:p>
            <w:pPr>
              <w:spacing w:after="0"/>
            </w:pPr>
            <w:r/>
            <w:r>
              <w:rPr>
                <w:b w:val="0"/>
                <w:sz w:val="18"/>
              </w:rPr>
              <w:t>(h)</w:t>
            </w:r>
          </w:p>
        </w:tc>
        <w:tc>
          <w:tcPr>
            <w:tcW w:type="dxa" w:w="5040"/>
          </w:tcPr>
          <w:p>
            <w:pPr>
              <w:spacing w:after="0"/>
            </w:pPr>
            <w:r/>
            <w:r>
              <w:rPr>
                <w:b w:val="0"/>
                <w:sz w:val="18"/>
              </w:rPr>
              <w:t>Lease</w:t>
            </w:r>
          </w:p>
        </w:tc>
        <w:tc>
          <w:tcPr>
            <w:tcW w:type="dxa" w:w="3168"/>
          </w:tcPr>
          <w:p>
            <w:pPr>
              <w:spacing w:after="0"/>
            </w:pPr>
            <w:r/>
            <w:r>
              <w:rPr>
                <w:b w:val="0"/>
                <w:sz w:val="18"/>
              </w:rPr>
              <w:t>Art. 30(vi)</w:t>
            </w:r>
          </w:p>
        </w:tc>
      </w:tr>
      <w:tr>
        <w:tc>
          <w:tcPr>
            <w:tcW w:type="dxa" w:w="1152"/>
          </w:tcPr>
          <w:p>
            <w:pPr>
              <w:spacing w:after="0"/>
            </w:pPr>
            <w:r/>
            <w:r>
              <w:rPr>
                <w:b w:val="0"/>
                <w:sz w:val="18"/>
              </w:rPr>
              <w:t>(i)</w:t>
            </w:r>
          </w:p>
        </w:tc>
        <w:tc>
          <w:tcPr>
            <w:tcW w:type="dxa" w:w="5040"/>
          </w:tcPr>
          <w:p>
            <w:pPr>
              <w:spacing w:after="0"/>
            </w:pPr>
            <w:r/>
            <w:r>
              <w:rPr>
                <w:b w:val="0"/>
                <w:sz w:val="18"/>
              </w:rPr>
              <w:t>Power of Attorney</w:t>
            </w:r>
          </w:p>
        </w:tc>
        <w:tc>
          <w:tcPr>
            <w:tcW w:type="dxa" w:w="3168"/>
          </w:tcPr>
          <w:p>
            <w:pPr>
              <w:spacing w:after="0"/>
            </w:pPr>
            <w:r/>
            <w:r>
              <w:rPr>
                <w:b w:val="0"/>
                <w:sz w:val="18"/>
              </w:rPr>
              <w:t>Art. 41(e), (ea), (eb)</w:t>
            </w:r>
          </w:p>
        </w:tc>
      </w:tr>
      <w:tr>
        <w:tc>
          <w:tcPr>
            <w:tcW w:type="dxa" w:w="1152"/>
          </w:tcPr>
          <w:p>
            <w:pPr>
              <w:spacing w:after="0"/>
            </w:pPr>
            <w:r/>
            <w:r>
              <w:rPr>
                <w:b w:val="0"/>
                <w:sz w:val="18"/>
              </w:rPr>
              <w:t>(j)</w:t>
            </w:r>
          </w:p>
        </w:tc>
        <w:tc>
          <w:tcPr>
            <w:tcW w:type="dxa" w:w="5040"/>
          </w:tcPr>
          <w:p>
            <w:pPr>
              <w:spacing w:after="0"/>
            </w:pPr>
            <w:r/>
            <w:r>
              <w:rPr>
                <w:b w:val="0"/>
                <w:sz w:val="18"/>
              </w:rPr>
              <w:t>Release</w:t>
            </w:r>
          </w:p>
        </w:tc>
        <w:tc>
          <w:tcPr>
            <w:tcW w:type="dxa" w:w="3168"/>
          </w:tcPr>
          <w:p>
            <w:pPr>
              <w:spacing w:after="0"/>
            </w:pPr>
            <w:r/>
            <w:r>
              <w:rPr>
                <w:b w:val="0"/>
                <w:sz w:val="18"/>
              </w:rPr>
              <w:t>Art. 45(a)</w:t>
            </w:r>
          </w:p>
        </w:tc>
      </w:tr>
      <w:tr>
        <w:tc>
          <w:tcPr>
            <w:tcW w:type="dxa" w:w="1152"/>
          </w:tcPr>
          <w:p>
            <w:pPr>
              <w:spacing w:after="0"/>
            </w:pPr>
            <w:r/>
            <w:r>
              <w:rPr>
                <w:b w:val="0"/>
                <w:sz w:val="18"/>
              </w:rPr>
              <w:t>(k)</w:t>
            </w:r>
          </w:p>
        </w:tc>
        <w:tc>
          <w:tcPr>
            <w:tcW w:type="dxa" w:w="5040"/>
          </w:tcPr>
          <w:p>
            <w:pPr>
              <w:spacing w:after="0"/>
            </w:pPr>
            <w:r/>
            <w:r>
              <w:rPr>
                <w:b w:val="0"/>
                <w:sz w:val="18"/>
              </w:rPr>
              <w:t>Conveyance under decree or final order of a Civil Court</w:t>
            </w:r>
          </w:p>
        </w:tc>
        <w:tc>
          <w:tcPr>
            <w:tcW w:type="dxa" w:w="3168"/>
          </w:tcPr>
          <w:p>
            <w:pPr>
              <w:spacing w:after="0"/>
            </w:pPr>
            <w:r/>
            <w:r>
              <w:rPr>
                <w:b w:val="0"/>
                <w:sz w:val="18"/>
              </w:rPr>
              <w:t>—</w:t>
            </w:r>
          </w:p>
        </w:tc>
      </w:tr>
      <w:tr>
        <w:tc>
          <w:tcPr>
            <w:tcW w:type="dxa" w:w="1152"/>
          </w:tcPr>
          <w:p>
            <w:pPr>
              <w:spacing w:after="0"/>
            </w:pPr>
            <w:r/>
            <w:r>
              <w:rPr>
                <w:b w:val="0"/>
                <w:sz w:val="18"/>
              </w:rPr>
              <w:t>(l)</w:t>
            </w:r>
          </w:p>
        </w:tc>
        <w:tc>
          <w:tcPr>
            <w:tcW w:type="dxa" w:w="5040"/>
          </w:tcPr>
          <w:p>
            <w:pPr>
              <w:spacing w:after="0"/>
            </w:pPr>
            <w:r/>
            <w:r>
              <w:rPr>
                <w:b w:val="0"/>
                <w:sz w:val="18"/>
              </w:rPr>
              <w:t>Agreement</w:t>
            </w:r>
          </w:p>
        </w:tc>
        <w:tc>
          <w:tcPr>
            <w:tcW w:type="dxa" w:w="3168"/>
          </w:tcPr>
          <w:p>
            <w:pPr>
              <w:spacing w:after="0"/>
            </w:pPr>
            <w:r/>
            <w:r>
              <w:rPr>
                <w:b w:val="0"/>
                <w:sz w:val="18"/>
              </w:rPr>
              <w:t>Art. 5(f)</w:t>
            </w:r>
          </w:p>
        </w:tc>
      </w:tr>
      <w:tr>
        <w:tc>
          <w:tcPr>
            <w:tcW w:type="dxa" w:w="1152"/>
          </w:tcPr>
          <w:p>
            <w:pPr>
              <w:spacing w:after="0"/>
            </w:pPr>
            <w:r/>
            <w:r>
              <w:rPr>
                <w:b w:val="0"/>
                <w:sz w:val="18"/>
              </w:rPr>
              <w:t>(m)</w:t>
            </w:r>
          </w:p>
        </w:tc>
        <w:tc>
          <w:tcPr>
            <w:tcW w:type="dxa" w:w="5040"/>
          </w:tcPr>
          <w:p>
            <w:pPr>
              <w:spacing w:after="0"/>
            </w:pPr>
            <w:r/>
            <w:r>
              <w:rPr>
                <w:b w:val="0"/>
                <w:sz w:val="18"/>
              </w:rPr>
              <w:t>Award</w:t>
            </w:r>
          </w:p>
        </w:tc>
        <w:tc>
          <w:tcPr>
            <w:tcW w:type="dxa" w:w="3168"/>
          </w:tcPr>
          <w:p>
            <w:pPr>
              <w:spacing w:after="0"/>
            </w:pPr>
            <w:r/>
            <w:r>
              <w:rPr>
                <w:b w:val="0"/>
                <w:sz w:val="18"/>
              </w:rPr>
              <w:t>Art. 11(a)</w:t>
            </w:r>
          </w:p>
        </w:tc>
      </w:tr>
      <w:tr>
        <w:tc>
          <w:tcPr>
            <w:tcW w:type="dxa" w:w="1152"/>
          </w:tcPr>
          <w:p>
            <w:pPr>
              <w:spacing w:after="0"/>
            </w:pPr>
            <w:r/>
            <w:r>
              <w:rPr>
                <w:b w:val="0"/>
                <w:sz w:val="18"/>
              </w:rPr>
              <w:t>(n)</w:t>
            </w:r>
          </w:p>
        </w:tc>
        <w:tc>
          <w:tcPr>
            <w:tcW w:type="dxa" w:w="5040"/>
          </w:tcPr>
          <w:p>
            <w:pPr>
              <w:spacing w:after="0"/>
            </w:pPr>
            <w:r/>
            <w:r>
              <w:rPr>
                <w:b w:val="0"/>
                <w:sz w:val="18"/>
              </w:rPr>
              <w:t>Trust</w:t>
            </w:r>
          </w:p>
        </w:tc>
        <w:tc>
          <w:tcPr>
            <w:tcW w:type="dxa" w:w="3168"/>
          </w:tcPr>
          <w:p>
            <w:pPr>
              <w:spacing w:after="0"/>
            </w:pPr>
            <w:r/>
            <w:r>
              <w:rPr>
                <w:b w:val="0"/>
                <w:sz w:val="18"/>
              </w:rPr>
              <w:t>Art. 54(A)(iii)</w:t>
            </w:r>
          </w:p>
        </w:tc>
      </w:tr>
      <w:tr>
        <w:tc>
          <w:tcPr>
            <w:tcW w:type="dxa" w:w="1152"/>
          </w:tcPr>
          <w:p>
            <w:pPr>
              <w:spacing w:after="0"/>
            </w:pPr>
            <w:r/>
            <w:r>
              <w:rPr>
                <w:b w:val="0"/>
                <w:sz w:val="18"/>
              </w:rPr>
              <w:t>(o)</w:t>
            </w:r>
          </w:p>
        </w:tc>
        <w:tc>
          <w:tcPr>
            <w:tcW w:type="dxa" w:w="5040"/>
          </w:tcPr>
          <w:p>
            <w:pPr>
              <w:spacing w:after="0"/>
            </w:pPr>
            <w:r/>
            <w:r>
              <w:rPr>
                <w:b w:val="0"/>
                <w:sz w:val="18"/>
              </w:rPr>
              <w:t>Transferable Development Rights</w:t>
            </w:r>
          </w:p>
        </w:tc>
        <w:tc>
          <w:tcPr>
            <w:tcW w:type="dxa" w:w="3168"/>
          </w:tcPr>
          <w:p>
            <w:pPr>
              <w:spacing w:after="0"/>
            </w:pPr>
            <w:r/>
            <w:r>
              <w:rPr>
                <w:b w:val="0"/>
                <w:sz w:val="18"/>
              </w:rPr>
              <w:t>Art. 20(7)</w:t>
            </w:r>
          </w:p>
        </w:tc>
      </w:tr>
    </w:tbl>
    <w:p/>
    <w:p>
      <w:pPr>
        <w:pStyle w:val="Heading3"/>
      </w:pPr>
      <w:r>
        <w:t>3.6 Statutory forms and outputs mapping</w:t>
      </w:r>
    </w:p>
    <w:tbl>
      <w:tblPr>
        <w:tblStyle w:val="TableGrid"/>
        <w:tblW w:type="auto" w:w="0"/>
        <w:tblLook w:firstColumn="1" w:firstRow="1" w:lastColumn="0" w:lastRow="0" w:noHBand="0" w:noVBand="1" w:val="04A0"/>
      </w:tblPr>
      <w:tblGrid>
        <w:gridCol w:w="2556"/>
        <w:gridCol w:w="2556"/>
        <w:gridCol w:w="2556"/>
        <w:gridCol w:w="2556"/>
      </w:tblGrid>
      <w:tr>
        <w:tc>
          <w:tcPr>
            <w:tcW w:type="dxa" w:w="2592"/>
            <w:shd w:val="clear" w:color="auto" w:fill="D9E2F3"/>
          </w:tcPr>
          <w:p>
            <w:pPr>
              <w:spacing w:after="0"/>
            </w:pPr>
            <w:r/>
            <w:r>
              <w:rPr>
                <w:b/>
                <w:sz w:val="18"/>
              </w:rPr>
              <w:t>Form / output</w:t>
            </w:r>
          </w:p>
        </w:tc>
        <w:tc>
          <w:tcPr>
            <w:tcW w:type="dxa" w:w="1872"/>
            <w:shd w:val="clear" w:color="auto" w:fill="D9E2F3"/>
          </w:tcPr>
          <w:p>
            <w:pPr>
              <w:spacing w:after="0"/>
            </w:pPr>
            <w:r/>
            <w:r>
              <w:rPr>
                <w:b/>
                <w:sz w:val="18"/>
              </w:rPr>
              <w:t>Ref</w:t>
            </w:r>
          </w:p>
        </w:tc>
        <w:tc>
          <w:tcPr>
            <w:tcW w:type="dxa" w:w="3168"/>
            <w:shd w:val="clear" w:color="auto" w:fill="D9E2F3"/>
          </w:tcPr>
          <w:p>
            <w:pPr>
              <w:spacing w:after="0"/>
            </w:pPr>
            <w:r/>
            <w:r>
              <w:rPr>
                <w:b/>
                <w:sz w:val="18"/>
              </w:rPr>
              <w:t>Purpose</w:t>
            </w:r>
          </w:p>
        </w:tc>
        <w:tc>
          <w:tcPr>
            <w:tcW w:type="dxa" w:w="1728"/>
            <w:shd w:val="clear" w:color="auto" w:fill="D9E2F3"/>
          </w:tcPr>
          <w:p>
            <w:pPr>
              <w:spacing w:after="0"/>
            </w:pPr>
            <w:r/>
            <w:r>
              <w:rPr>
                <w:b/>
                <w:sz w:val="18"/>
              </w:rPr>
              <w:t>Generated by</w:t>
            </w:r>
          </w:p>
        </w:tc>
      </w:tr>
      <w:tr>
        <w:tc>
          <w:tcPr>
            <w:tcW w:type="dxa" w:w="2592"/>
          </w:tcPr>
          <w:p>
            <w:pPr>
              <w:spacing w:after="0"/>
            </w:pPr>
            <w:r/>
            <w:r>
              <w:rPr>
                <w:b w:val="0"/>
                <w:sz w:val="18"/>
              </w:rPr>
              <w:t>Valuation summary with GIS map snapshot</w:t>
            </w:r>
          </w:p>
        </w:tc>
        <w:tc>
          <w:tcPr>
            <w:tcW w:type="dxa" w:w="1872"/>
          </w:tcPr>
          <w:p>
            <w:pPr>
              <w:spacing w:after="0"/>
            </w:pPr>
            <w:r/>
            <w:r>
              <w:rPr>
                <w:b w:val="0"/>
                <w:sz w:val="18"/>
              </w:rPr>
              <w:t>Sec. 2(mm), 3, 27</w:t>
            </w:r>
          </w:p>
        </w:tc>
        <w:tc>
          <w:tcPr>
            <w:tcW w:type="dxa" w:w="3168"/>
          </w:tcPr>
          <w:p>
            <w:pPr>
              <w:spacing w:after="0"/>
            </w:pPr>
            <w:r/>
            <w:r>
              <w:rPr>
                <w:b w:val="0"/>
                <w:sz w:val="18"/>
              </w:rPr>
              <w:t>Itemised guideline value, consideration, market value, duty and fee with property map (Kaveri 3.0 artefact)</w:t>
            </w:r>
          </w:p>
        </w:tc>
        <w:tc>
          <w:tcPr>
            <w:tcW w:type="dxa" w:w="1728"/>
          </w:tcPr>
          <w:p>
            <w:pPr>
              <w:spacing w:after="0"/>
            </w:pPr>
            <w:r/>
            <w:r>
              <w:rPr>
                <w:b w:val="0"/>
                <w:sz w:val="18"/>
              </w:rPr>
              <w:t>System on valuation; attached to the application</w:t>
            </w:r>
          </w:p>
        </w:tc>
      </w:tr>
      <w:tr>
        <w:tc>
          <w:tcPr>
            <w:tcW w:type="dxa" w:w="2592"/>
          </w:tcPr>
          <w:p>
            <w:pPr>
              <w:spacing w:after="0"/>
            </w:pPr>
            <w:r/>
            <w:r>
              <w:rPr>
                <w:b w:val="0"/>
                <w:sz w:val="18"/>
              </w:rPr>
              <w:t>Communication of estimated market value</w:t>
            </w:r>
          </w:p>
        </w:tc>
        <w:tc>
          <w:tcPr>
            <w:tcW w:type="dxa" w:w="1872"/>
          </w:tcPr>
          <w:p>
            <w:pPr>
              <w:spacing w:after="0"/>
            </w:pPr>
            <w:r/>
            <w:r>
              <w:rPr>
                <w:b w:val="0"/>
                <w:sz w:val="18"/>
              </w:rPr>
              <w:t>Sec. 45-A(1)</w:t>
            </w:r>
          </w:p>
        </w:tc>
        <w:tc>
          <w:tcPr>
            <w:tcW w:type="dxa" w:w="3168"/>
          </w:tcPr>
          <w:p>
            <w:pPr>
              <w:spacing w:after="0"/>
            </w:pPr>
            <w:r/>
            <w:r>
              <w:rPr>
                <w:b w:val="0"/>
                <w:sz w:val="18"/>
              </w:rPr>
              <w:t>SR's estimated market value and extra duty communicated to the parties</w:t>
            </w:r>
          </w:p>
        </w:tc>
        <w:tc>
          <w:tcPr>
            <w:tcW w:type="dxa" w:w="1728"/>
          </w:tcPr>
          <w:p>
            <w:pPr>
              <w:spacing w:after="0"/>
            </w:pPr>
            <w:r/>
            <w:r>
              <w:rPr>
                <w:b w:val="0"/>
                <w:sz w:val="18"/>
              </w:rPr>
              <w:t>System on SR estimate (portal + SMS / e-mail)</w:t>
            </w:r>
          </w:p>
        </w:tc>
      </w:tr>
      <w:tr>
        <w:tc>
          <w:tcPr>
            <w:tcW w:type="dxa" w:w="2592"/>
          </w:tcPr>
          <w:p>
            <w:pPr>
              <w:spacing w:after="0"/>
            </w:pPr>
            <w:r/>
            <w:r>
              <w:rPr>
                <w:b w:val="0"/>
                <w:sz w:val="18"/>
              </w:rPr>
              <w:t>Form I</w:t>
            </w:r>
          </w:p>
        </w:tc>
        <w:tc>
          <w:tcPr>
            <w:tcW w:type="dxa" w:w="1872"/>
          </w:tcPr>
          <w:p>
            <w:pPr>
              <w:spacing w:after="0"/>
            </w:pPr>
            <w:r/>
            <w:r>
              <w:rPr>
                <w:b w:val="0"/>
                <w:sz w:val="18"/>
              </w:rPr>
              <w:t>Undervaluation Rules, 1977</w:t>
            </w:r>
          </w:p>
        </w:tc>
        <w:tc>
          <w:tcPr>
            <w:tcW w:type="dxa" w:w="3168"/>
          </w:tcPr>
          <w:p>
            <w:pPr>
              <w:spacing w:after="0"/>
            </w:pPr>
            <w:r/>
            <w:r>
              <w:rPr>
                <w:b w:val="0"/>
                <w:sz w:val="18"/>
              </w:rPr>
              <w:t>Property particulars and market value statement accompanying the reference</w:t>
            </w:r>
          </w:p>
        </w:tc>
        <w:tc>
          <w:tcPr>
            <w:tcW w:type="dxa" w:w="1728"/>
          </w:tcPr>
          <w:p>
            <w:pPr>
              <w:spacing w:after="0"/>
            </w:pPr>
            <w:r/>
            <w:r>
              <w:rPr>
                <w:b w:val="0"/>
                <w:sz w:val="18"/>
              </w:rPr>
              <w:t>System from valuation record; SR confirms</w:t>
            </w:r>
          </w:p>
        </w:tc>
      </w:tr>
      <w:tr>
        <w:tc>
          <w:tcPr>
            <w:tcW w:type="dxa" w:w="2592"/>
          </w:tcPr>
          <w:p>
            <w:pPr>
              <w:spacing w:after="0"/>
            </w:pPr>
            <w:r/>
            <w:r>
              <w:rPr>
                <w:b w:val="0"/>
                <w:sz w:val="18"/>
              </w:rPr>
              <w:t>Reference to Deputy Commissioner</w:t>
            </w:r>
          </w:p>
        </w:tc>
        <w:tc>
          <w:tcPr>
            <w:tcW w:type="dxa" w:w="1872"/>
          </w:tcPr>
          <w:p>
            <w:pPr>
              <w:spacing w:after="0"/>
            </w:pPr>
            <w:r/>
            <w:r>
              <w:rPr>
                <w:b w:val="0"/>
                <w:sz w:val="18"/>
              </w:rPr>
              <w:t>Sec. 45-A(1)</w:t>
            </w:r>
          </w:p>
        </w:tc>
        <w:tc>
          <w:tcPr>
            <w:tcW w:type="dxa" w:w="3168"/>
          </w:tcPr>
          <w:p>
            <w:pPr>
              <w:spacing w:after="0"/>
            </w:pPr>
            <w:r/>
            <w:r>
              <w:rPr>
                <w:b w:val="0"/>
                <w:sz w:val="18"/>
              </w:rPr>
              <w:t>Electronic reference with Form I and copy of the instrument</w:t>
            </w:r>
          </w:p>
        </w:tc>
        <w:tc>
          <w:tcPr>
            <w:tcW w:type="dxa" w:w="1728"/>
          </w:tcPr>
          <w:p>
            <w:pPr>
              <w:spacing w:after="0"/>
            </w:pPr>
            <w:r/>
            <w:r>
              <w:rPr>
                <w:b w:val="0"/>
                <w:sz w:val="18"/>
              </w:rPr>
              <w:t>System on SR referral</w:t>
            </w:r>
          </w:p>
        </w:tc>
      </w:tr>
      <w:tr>
        <w:tc>
          <w:tcPr>
            <w:tcW w:type="dxa" w:w="2592"/>
          </w:tcPr>
          <w:p>
            <w:pPr>
              <w:spacing w:after="0"/>
            </w:pPr>
            <w:r/>
            <w:r>
              <w:rPr>
                <w:b w:val="0"/>
                <w:sz w:val="18"/>
              </w:rPr>
              <w:t>Notice of hearing</w:t>
            </w:r>
          </w:p>
        </w:tc>
        <w:tc>
          <w:tcPr>
            <w:tcW w:type="dxa" w:w="1872"/>
          </w:tcPr>
          <w:p>
            <w:pPr>
              <w:spacing w:after="0"/>
            </w:pPr>
            <w:r/>
            <w:r>
              <w:rPr>
                <w:b w:val="0"/>
                <w:sz w:val="18"/>
              </w:rPr>
              <w:t>Sec. 45-A(2)/(3); Rules 1977</w:t>
            </w:r>
          </w:p>
        </w:tc>
        <w:tc>
          <w:tcPr>
            <w:tcW w:type="dxa" w:w="3168"/>
          </w:tcPr>
          <w:p>
            <w:pPr>
              <w:spacing w:after="0"/>
            </w:pPr>
            <w:r/>
            <w:r>
              <w:rPr>
                <w:b w:val="0"/>
                <w:sz w:val="18"/>
              </w:rPr>
              <w:t>Notice to parties for hearing / inquiry</w:t>
            </w:r>
          </w:p>
        </w:tc>
        <w:tc>
          <w:tcPr>
            <w:tcW w:type="dxa" w:w="1728"/>
          </w:tcPr>
          <w:p>
            <w:pPr>
              <w:spacing w:after="0"/>
            </w:pPr>
            <w:r/>
            <w:r>
              <w:rPr>
                <w:b w:val="0"/>
                <w:sz w:val="18"/>
              </w:rPr>
              <w:t>System on DC action</w:t>
            </w:r>
          </w:p>
        </w:tc>
      </w:tr>
      <w:tr>
        <w:tc>
          <w:tcPr>
            <w:tcW w:type="dxa" w:w="2592"/>
          </w:tcPr>
          <w:p>
            <w:pPr>
              <w:spacing w:after="0"/>
            </w:pPr>
            <w:r/>
            <w:r>
              <w:rPr>
                <w:b w:val="0"/>
                <w:sz w:val="18"/>
              </w:rPr>
              <w:t>Order determining market value and duty</w:t>
            </w:r>
          </w:p>
        </w:tc>
        <w:tc>
          <w:tcPr>
            <w:tcW w:type="dxa" w:w="1872"/>
          </w:tcPr>
          <w:p>
            <w:pPr>
              <w:spacing w:after="0"/>
            </w:pPr>
            <w:r/>
            <w:r>
              <w:rPr>
                <w:b w:val="0"/>
                <w:sz w:val="18"/>
              </w:rPr>
              <w:t>Sec. 45-A(2)/(3)/(4)</w:t>
            </w:r>
          </w:p>
        </w:tc>
        <w:tc>
          <w:tcPr>
            <w:tcW w:type="dxa" w:w="3168"/>
          </w:tcPr>
          <w:p>
            <w:pPr>
              <w:spacing w:after="0"/>
            </w:pPr>
            <w:r/>
            <w:r>
              <w:rPr>
                <w:b w:val="0"/>
                <w:sz w:val="18"/>
              </w:rPr>
              <w:t>Order to the person liable; copy to the registering officer</w:t>
            </w:r>
          </w:p>
        </w:tc>
        <w:tc>
          <w:tcPr>
            <w:tcW w:type="dxa" w:w="1728"/>
          </w:tcPr>
          <w:p>
            <w:pPr>
              <w:spacing w:after="0"/>
            </w:pPr>
            <w:r/>
            <w:r>
              <w:rPr>
                <w:b w:val="0"/>
                <w:sz w:val="18"/>
              </w:rPr>
              <w:t>System on DC digital signature</w:t>
            </w:r>
          </w:p>
        </w:tc>
      </w:tr>
      <w:tr>
        <w:tc>
          <w:tcPr>
            <w:tcW w:type="dxa" w:w="2592"/>
          </w:tcPr>
          <w:p>
            <w:pPr>
              <w:spacing w:after="0"/>
            </w:pPr>
            <w:r/>
            <w:r>
              <w:rPr>
                <w:b w:val="0"/>
                <w:sz w:val="18"/>
              </w:rPr>
              <w:t>Appeal memorandum and 50% deposit receipt</w:t>
            </w:r>
          </w:p>
        </w:tc>
        <w:tc>
          <w:tcPr>
            <w:tcW w:type="dxa" w:w="1872"/>
          </w:tcPr>
          <w:p>
            <w:pPr>
              <w:spacing w:after="0"/>
            </w:pPr>
            <w:r/>
            <w:r>
              <w:rPr>
                <w:b w:val="0"/>
                <w:sz w:val="18"/>
              </w:rPr>
              <w:t>Sec. 45-A(5)</w:t>
            </w:r>
          </w:p>
        </w:tc>
        <w:tc>
          <w:tcPr>
            <w:tcW w:type="dxa" w:w="3168"/>
          </w:tcPr>
          <w:p>
            <w:pPr>
              <w:spacing w:after="0"/>
            </w:pPr>
            <w:r/>
            <w:r>
              <w:rPr>
                <w:b w:val="0"/>
                <w:sz w:val="18"/>
              </w:rPr>
              <w:t>Appeal to the Regional Commissioner with pre-deposit proof</w:t>
            </w:r>
          </w:p>
        </w:tc>
        <w:tc>
          <w:tcPr>
            <w:tcW w:type="dxa" w:w="1728"/>
          </w:tcPr>
          <w:p>
            <w:pPr>
              <w:spacing w:after="0"/>
            </w:pPr>
            <w:r/>
            <w:r>
              <w:rPr>
                <w:b w:val="0"/>
                <w:sz w:val="18"/>
              </w:rPr>
              <w:t>Citizen portal + payment gateway</w:t>
            </w:r>
          </w:p>
        </w:tc>
      </w:tr>
      <w:tr>
        <w:tc>
          <w:tcPr>
            <w:tcW w:type="dxa" w:w="2592"/>
          </w:tcPr>
          <w:p>
            <w:pPr>
              <w:spacing w:after="0"/>
            </w:pPr>
            <w:r/>
            <w:r>
              <w:rPr>
                <w:b w:val="0"/>
                <w:sz w:val="18"/>
              </w:rPr>
              <w:t>Appellate order</w:t>
            </w:r>
          </w:p>
        </w:tc>
        <w:tc>
          <w:tcPr>
            <w:tcW w:type="dxa" w:w="1872"/>
          </w:tcPr>
          <w:p>
            <w:pPr>
              <w:spacing w:after="0"/>
            </w:pPr>
            <w:r/>
            <w:r>
              <w:rPr>
                <w:b w:val="0"/>
                <w:sz w:val="18"/>
              </w:rPr>
              <w:t>Sec. 45-A(5)</w:t>
            </w:r>
          </w:p>
        </w:tc>
        <w:tc>
          <w:tcPr>
            <w:tcW w:type="dxa" w:w="3168"/>
          </w:tcPr>
          <w:p>
            <w:pPr>
              <w:spacing w:after="0"/>
            </w:pPr>
            <w:r/>
            <w:r>
              <w:rPr>
                <w:b w:val="0"/>
                <w:sz w:val="18"/>
              </w:rPr>
              <w:t>Value decided or remand to DC</w:t>
            </w:r>
          </w:p>
        </w:tc>
        <w:tc>
          <w:tcPr>
            <w:tcW w:type="dxa" w:w="1728"/>
          </w:tcPr>
          <w:p>
            <w:pPr>
              <w:spacing w:after="0"/>
            </w:pPr>
            <w:r/>
            <w:r>
              <w:rPr>
                <w:b w:val="0"/>
                <w:sz w:val="18"/>
              </w:rPr>
              <w:t>System on appellate authority digital signature</w:t>
            </w:r>
          </w:p>
        </w:tc>
      </w:tr>
    </w:tbl>
    <w:p/>
    <w:p>
      <w:pPr>
        <w:pStyle w:val="Heading2"/>
      </w:pPr>
      <w:r>
        <w:t>4. Stakeholders and actors</w:t>
      </w:r>
    </w:p>
    <w:tbl>
      <w:tblPr>
        <w:tblStyle w:val="TableGrid"/>
        <w:tblW w:type="auto" w:w="0"/>
        <w:tblLook w:firstColumn="1" w:firstRow="1" w:lastColumn="0" w:lastRow="0" w:noHBand="0" w:noVBand="1" w:val="04A0"/>
      </w:tblPr>
      <w:tblGrid>
        <w:gridCol w:w="2556"/>
        <w:gridCol w:w="2556"/>
        <w:gridCol w:w="2556"/>
        <w:gridCol w:w="2556"/>
      </w:tblGrid>
      <w:tr>
        <w:tc>
          <w:tcPr>
            <w:tcW w:type="dxa" w:w="2160"/>
            <w:shd w:val="clear" w:color="auto" w:fill="D9E2F3"/>
          </w:tcPr>
          <w:p>
            <w:pPr>
              <w:spacing w:after="0"/>
            </w:pPr>
            <w:r/>
            <w:r>
              <w:rPr>
                <w:b/>
                <w:sz w:val="18"/>
              </w:rPr>
              <w:t>Actor</w:t>
            </w:r>
          </w:p>
        </w:tc>
        <w:tc>
          <w:tcPr>
            <w:tcW w:type="dxa" w:w="2448"/>
            <w:shd w:val="clear" w:color="auto" w:fill="D9E2F3"/>
          </w:tcPr>
          <w:p>
            <w:pPr>
              <w:spacing w:after="0"/>
            </w:pPr>
            <w:r/>
            <w:r>
              <w:rPr>
                <w:b/>
                <w:sz w:val="18"/>
              </w:rPr>
              <w:t>Description</w:t>
            </w:r>
          </w:p>
        </w:tc>
        <w:tc>
          <w:tcPr>
            <w:tcW w:type="dxa" w:w="2880"/>
            <w:shd w:val="clear" w:color="auto" w:fill="D9E2F3"/>
          </w:tcPr>
          <w:p>
            <w:pPr>
              <w:spacing w:after="0"/>
            </w:pPr>
            <w:r/>
            <w:r>
              <w:rPr>
                <w:b/>
                <w:sz w:val="18"/>
              </w:rPr>
              <w:t>Primary goals</w:t>
            </w:r>
          </w:p>
        </w:tc>
        <w:tc>
          <w:tcPr>
            <w:tcW w:type="dxa" w:w="1872"/>
            <w:shd w:val="clear" w:color="auto" w:fill="D9E2F3"/>
          </w:tcPr>
          <w:p>
            <w:pPr>
              <w:spacing w:after="0"/>
            </w:pPr>
            <w:r/>
            <w:r>
              <w:rPr>
                <w:b/>
                <w:sz w:val="18"/>
              </w:rPr>
              <w:t>Channel involvement</w:t>
            </w:r>
          </w:p>
        </w:tc>
      </w:tr>
      <w:tr>
        <w:tc>
          <w:tcPr>
            <w:tcW w:type="dxa" w:w="2160"/>
          </w:tcPr>
          <w:p>
            <w:pPr>
              <w:spacing w:after="0"/>
            </w:pPr>
            <w:r/>
            <w:r>
              <w:rPr>
                <w:b w:val="0"/>
                <w:sz w:val="18"/>
              </w:rPr>
              <w:t>Citizen / Presentant / Party</w:t>
            </w:r>
          </w:p>
        </w:tc>
        <w:tc>
          <w:tcPr>
            <w:tcW w:type="dxa" w:w="2448"/>
          </w:tcPr>
          <w:p>
            <w:pPr>
              <w:spacing w:after="0"/>
            </w:pPr>
            <w:r/>
            <w:r>
              <w:rPr>
                <w:b w:val="0"/>
                <w:sz w:val="18"/>
              </w:rPr>
              <w:t>Executant, claimant or person liable to pay duty</w:t>
            </w:r>
          </w:p>
        </w:tc>
        <w:tc>
          <w:tcPr>
            <w:tcW w:type="dxa" w:w="2880"/>
          </w:tcPr>
          <w:p>
            <w:pPr>
              <w:spacing w:after="0"/>
            </w:pPr>
            <w:r/>
            <w:r>
              <w:rPr>
                <w:b w:val="0"/>
                <w:sz w:val="18"/>
              </w:rPr>
              <w:t>Value the property correctly, see duty and fee before registration, pay any difference</w:t>
            </w:r>
          </w:p>
        </w:tc>
        <w:tc>
          <w:tcPr>
            <w:tcW w:type="dxa" w:w="1872"/>
          </w:tcPr>
          <w:p>
            <w:pPr>
              <w:spacing w:after="0"/>
            </w:pPr>
            <w:r/>
            <w:r>
              <w:rPr>
                <w:b w:val="0"/>
                <w:sz w:val="18"/>
              </w:rPr>
              <w:t>Online self-valuation; office visit for registration</w:t>
            </w:r>
          </w:p>
        </w:tc>
      </w:tr>
      <w:tr>
        <w:tc>
          <w:tcPr>
            <w:tcW w:type="dxa" w:w="2160"/>
          </w:tcPr>
          <w:p>
            <w:pPr>
              <w:spacing w:after="0"/>
            </w:pPr>
            <w:r/>
            <w:r>
              <w:rPr>
                <w:b w:val="0"/>
                <w:sz w:val="18"/>
              </w:rPr>
              <w:t>Data Entry Operator (DEO) at SRO</w:t>
            </w:r>
          </w:p>
        </w:tc>
        <w:tc>
          <w:tcPr>
            <w:tcW w:type="dxa" w:w="2448"/>
          </w:tcPr>
          <w:p>
            <w:pPr>
              <w:spacing w:after="0"/>
            </w:pPr>
            <w:r/>
            <w:r>
              <w:rPr>
                <w:b w:val="0"/>
                <w:sz w:val="18"/>
              </w:rPr>
              <w:t>Office operator assisting walk-in parties</w:t>
            </w:r>
          </w:p>
        </w:tc>
        <w:tc>
          <w:tcPr>
            <w:tcW w:type="dxa" w:w="2880"/>
          </w:tcPr>
          <w:p>
            <w:pPr>
              <w:spacing w:after="0"/>
            </w:pPr>
            <w:r/>
            <w:r>
              <w:rPr>
                <w:b w:val="0"/>
                <w:sz w:val="18"/>
              </w:rPr>
              <w:t>Enter property and valuation details on behalf of the party</w:t>
            </w:r>
          </w:p>
        </w:tc>
        <w:tc>
          <w:tcPr>
            <w:tcW w:type="dxa" w:w="1872"/>
          </w:tcPr>
          <w:p>
            <w:pPr>
              <w:spacing w:after="0"/>
            </w:pPr>
            <w:r/>
            <w:r>
              <w:rPr>
                <w:b w:val="0"/>
                <w:sz w:val="18"/>
              </w:rPr>
              <w:t>Assisted (office)</w:t>
            </w:r>
          </w:p>
        </w:tc>
      </w:tr>
      <w:tr>
        <w:tc>
          <w:tcPr>
            <w:tcW w:type="dxa" w:w="2160"/>
          </w:tcPr>
          <w:p>
            <w:pPr>
              <w:spacing w:after="0"/>
            </w:pPr>
            <w:r/>
            <w:r>
              <w:rPr>
                <w:b w:val="0"/>
                <w:sz w:val="18"/>
              </w:rPr>
              <w:t>Sub-Registrar (SR)</w:t>
            </w:r>
          </w:p>
        </w:tc>
        <w:tc>
          <w:tcPr>
            <w:tcW w:type="dxa" w:w="2448"/>
          </w:tcPr>
          <w:p>
            <w:pPr>
              <w:spacing w:after="0"/>
            </w:pPr>
            <w:r/>
            <w:r>
              <w:rPr>
                <w:b w:val="0"/>
                <w:sz w:val="18"/>
              </w:rPr>
              <w:t>Registering officer under the Registration Act, 1908</w:t>
            </w:r>
          </w:p>
        </w:tc>
        <w:tc>
          <w:tcPr>
            <w:tcW w:type="dxa" w:w="2880"/>
          </w:tcPr>
          <w:p>
            <w:pPr>
              <w:spacing w:after="0"/>
            </w:pPr>
            <w:r/>
            <w:r>
              <w:rPr>
                <w:b w:val="0"/>
                <w:sz w:val="18"/>
              </w:rPr>
              <w:t>Verify valuation, send back for revaluation, estimate value and refer under Sec. 45-A</w:t>
            </w:r>
          </w:p>
        </w:tc>
        <w:tc>
          <w:tcPr>
            <w:tcW w:type="dxa" w:w="1872"/>
          </w:tcPr>
          <w:p>
            <w:pPr>
              <w:spacing w:after="0"/>
            </w:pPr>
            <w:r/>
            <w:r>
              <w:rPr>
                <w:b w:val="0"/>
                <w:sz w:val="18"/>
              </w:rPr>
              <w:t>SR workbench</w:t>
            </w:r>
          </w:p>
        </w:tc>
      </w:tr>
      <w:tr>
        <w:tc>
          <w:tcPr>
            <w:tcW w:type="dxa" w:w="2160"/>
          </w:tcPr>
          <w:p>
            <w:pPr>
              <w:spacing w:after="0"/>
            </w:pPr>
            <w:r/>
            <w:r>
              <w:rPr>
                <w:b w:val="0"/>
                <w:sz w:val="18"/>
              </w:rPr>
              <w:t>Deputy Commissioner / District Registrar</w:t>
            </w:r>
          </w:p>
        </w:tc>
        <w:tc>
          <w:tcPr>
            <w:tcW w:type="dxa" w:w="2448"/>
          </w:tcPr>
          <w:p>
            <w:pPr>
              <w:spacing w:after="0"/>
            </w:pPr>
            <w:r/>
            <w:r>
              <w:rPr>
                <w:b w:val="0"/>
                <w:sz w:val="18"/>
              </w:rPr>
              <w:t>Authority under Sec. 45-A(2)/(3) (District Registrar where notified / delegated)</w:t>
            </w:r>
          </w:p>
        </w:tc>
        <w:tc>
          <w:tcPr>
            <w:tcW w:type="dxa" w:w="2880"/>
          </w:tcPr>
          <w:p>
            <w:pPr>
              <w:spacing w:after="0"/>
            </w:pPr>
            <w:r/>
            <w:r>
              <w:rPr>
                <w:b w:val="0"/>
                <w:sz w:val="18"/>
              </w:rPr>
              <w:t>Hear parties, determine market value and duty, suo motu examination</w:t>
            </w:r>
          </w:p>
        </w:tc>
        <w:tc>
          <w:tcPr>
            <w:tcW w:type="dxa" w:w="1872"/>
          </w:tcPr>
          <w:p>
            <w:pPr>
              <w:spacing w:after="0"/>
            </w:pPr>
            <w:r/>
            <w:r>
              <w:rPr>
                <w:b w:val="0"/>
                <w:sz w:val="18"/>
              </w:rPr>
              <w:t>DC workbench</w:t>
            </w:r>
          </w:p>
        </w:tc>
      </w:tr>
      <w:tr>
        <w:tc>
          <w:tcPr>
            <w:tcW w:type="dxa" w:w="2160"/>
          </w:tcPr>
          <w:p>
            <w:pPr>
              <w:spacing w:after="0"/>
            </w:pPr>
            <w:r/>
            <w:r>
              <w:rPr>
                <w:b w:val="0"/>
                <w:sz w:val="18"/>
              </w:rPr>
              <w:t>Regional Commissioner</w:t>
            </w:r>
          </w:p>
        </w:tc>
        <w:tc>
          <w:tcPr>
            <w:tcW w:type="dxa" w:w="2448"/>
          </w:tcPr>
          <w:p>
            <w:pPr>
              <w:spacing w:after="0"/>
            </w:pPr>
            <w:r/>
            <w:r>
              <w:rPr>
                <w:b w:val="0"/>
                <w:sz w:val="18"/>
              </w:rPr>
              <w:t>Appellate authority under Sec. 45-A(5)</w:t>
            </w:r>
          </w:p>
        </w:tc>
        <w:tc>
          <w:tcPr>
            <w:tcW w:type="dxa" w:w="2880"/>
          </w:tcPr>
          <w:p>
            <w:pPr>
              <w:spacing w:after="0"/>
            </w:pPr>
            <w:r/>
            <w:r>
              <w:rPr>
                <w:b w:val="0"/>
                <w:sz w:val="18"/>
              </w:rPr>
              <w:t>Hear and decide appeals or remand</w:t>
            </w:r>
          </w:p>
        </w:tc>
        <w:tc>
          <w:tcPr>
            <w:tcW w:type="dxa" w:w="1872"/>
          </w:tcPr>
          <w:p>
            <w:pPr>
              <w:spacing w:after="0"/>
            </w:pPr>
            <w:r/>
            <w:r>
              <w:rPr>
                <w:b w:val="0"/>
                <w:sz w:val="18"/>
              </w:rPr>
              <w:t>Appellate workbench</w:t>
            </w:r>
          </w:p>
        </w:tc>
      </w:tr>
      <w:tr>
        <w:tc>
          <w:tcPr>
            <w:tcW w:type="dxa" w:w="2160"/>
          </w:tcPr>
          <w:p>
            <w:pPr>
              <w:spacing w:after="0"/>
            </w:pPr>
            <w:r/>
            <w:r>
              <w:rPr>
                <w:b w:val="0"/>
                <w:sz w:val="18"/>
              </w:rPr>
              <w:t>Central Valuation Committee / DIGR — Valuation</w:t>
            </w:r>
          </w:p>
        </w:tc>
        <w:tc>
          <w:tcPr>
            <w:tcW w:type="dxa" w:w="2448"/>
          </w:tcPr>
          <w:p>
            <w:pPr>
              <w:spacing w:after="0"/>
            </w:pPr>
            <w:r/>
            <w:r>
              <w:rPr>
                <w:b w:val="0"/>
                <w:sz w:val="18"/>
              </w:rPr>
              <w:t>Owner of guideline rates under Sec. 45-B</w:t>
            </w:r>
          </w:p>
        </w:tc>
        <w:tc>
          <w:tcPr>
            <w:tcW w:type="dxa" w:w="2880"/>
          </w:tcPr>
          <w:p>
            <w:pPr>
              <w:spacing w:after="0"/>
            </w:pPr>
            <w:r/>
            <w:r>
              <w:rPr>
                <w:b w:val="0"/>
                <w:sz w:val="18"/>
              </w:rPr>
              <w:t>Publish Active rate versions; act on rate-gap and correction requests</w:t>
            </w:r>
          </w:p>
        </w:tc>
        <w:tc>
          <w:tcPr>
            <w:tcW w:type="dxa" w:w="1872"/>
          </w:tcPr>
          <w:p>
            <w:pPr>
              <w:spacing w:after="0"/>
            </w:pPr>
            <w:r/>
            <w:r>
              <w:rPr>
                <w:b w:val="0"/>
                <w:sz w:val="18"/>
              </w:rPr>
              <w:t>CVC Valuation Module (upstream)</w:t>
            </w:r>
          </w:p>
        </w:tc>
      </w:tr>
      <w:tr>
        <w:tc>
          <w:tcPr>
            <w:tcW w:type="dxa" w:w="2160"/>
          </w:tcPr>
          <w:p>
            <w:pPr>
              <w:spacing w:after="0"/>
            </w:pPr>
            <w:r/>
            <w:r>
              <w:rPr>
                <w:b w:val="0"/>
                <w:sz w:val="18"/>
              </w:rPr>
              <w:t>KSRSAC</w:t>
            </w:r>
          </w:p>
        </w:tc>
        <w:tc>
          <w:tcPr>
            <w:tcW w:type="dxa" w:w="2448"/>
          </w:tcPr>
          <w:p>
            <w:pPr>
              <w:spacing w:after="0"/>
            </w:pPr>
            <w:r/>
            <w:r>
              <w:rPr>
                <w:b w:val="0"/>
                <w:sz w:val="18"/>
              </w:rPr>
              <w:t>Karnataka State Remote Sensing Applications Centre — GIS provider</w:t>
            </w:r>
          </w:p>
        </w:tc>
        <w:tc>
          <w:tcPr>
            <w:tcW w:type="dxa" w:w="2880"/>
          </w:tcPr>
          <w:p>
            <w:pPr>
              <w:spacing w:after="0"/>
            </w:pPr>
            <w:r/>
            <w:r>
              <w:rPr>
                <w:b w:val="0"/>
                <w:sz w:val="18"/>
              </w:rPr>
              <w:t>Provide cadastral parcel, boundary and road layers and spatial lookup services</w:t>
            </w:r>
          </w:p>
        </w:tc>
        <w:tc>
          <w:tcPr>
            <w:tcW w:type="dxa" w:w="1872"/>
          </w:tcPr>
          <w:p>
            <w:pPr>
              <w:spacing w:after="0"/>
            </w:pPr>
            <w:r/>
            <w:r>
              <w:rPr>
                <w:b w:val="0"/>
                <w:sz w:val="18"/>
              </w:rPr>
              <w:t>System integration</w:t>
            </w:r>
          </w:p>
        </w:tc>
      </w:tr>
      <w:tr>
        <w:tc>
          <w:tcPr>
            <w:tcW w:type="dxa" w:w="2160"/>
          </w:tcPr>
          <w:p>
            <w:pPr>
              <w:spacing w:after="0"/>
            </w:pPr>
            <w:r/>
            <w:r>
              <w:rPr>
                <w:b w:val="0"/>
                <w:sz w:val="18"/>
              </w:rPr>
              <w:t>Valuation / GIS administrator</w:t>
            </w:r>
          </w:p>
        </w:tc>
        <w:tc>
          <w:tcPr>
            <w:tcW w:type="dxa" w:w="2448"/>
          </w:tcPr>
          <w:p>
            <w:pPr>
              <w:spacing w:after="0"/>
            </w:pPr>
            <w:r/>
            <w:r>
              <w:rPr>
                <w:b w:val="0"/>
                <w:sz w:val="18"/>
              </w:rPr>
              <w:t>Department master-data owner</w:t>
            </w:r>
          </w:p>
        </w:tc>
        <w:tc>
          <w:tcPr>
            <w:tcW w:type="dxa" w:w="2880"/>
          </w:tcPr>
          <w:p>
            <w:pPr>
              <w:spacing w:after="0"/>
            </w:pPr>
            <w:r/>
            <w:r>
              <w:rPr>
                <w:b w:val="0"/>
                <w:sz w:val="18"/>
              </w:rPr>
              <w:t>Keep village, road and survey masters aligned between Kaveri, CVC rates and KSRSAC</w:t>
            </w:r>
          </w:p>
        </w:tc>
        <w:tc>
          <w:tcPr>
            <w:tcW w:type="dxa" w:w="1872"/>
          </w:tcPr>
          <w:p>
            <w:pPr>
              <w:spacing w:after="0"/>
            </w:pPr>
            <w:r/>
            <w:r>
              <w:rPr>
                <w:b w:val="0"/>
                <w:sz w:val="18"/>
              </w:rPr>
              <w:t>Admin console</w:t>
            </w:r>
          </w:p>
        </w:tc>
      </w:tr>
      <w:tr>
        <w:tc>
          <w:tcPr>
            <w:tcW w:type="dxa" w:w="2160"/>
          </w:tcPr>
          <w:p>
            <w:pPr>
              <w:spacing w:after="0"/>
            </w:pPr>
            <w:r/>
            <w:r>
              <w:rPr>
                <w:b w:val="0"/>
                <w:sz w:val="18"/>
              </w:rPr>
              <w:t>Payment gateway / Treasury</w:t>
            </w:r>
          </w:p>
        </w:tc>
        <w:tc>
          <w:tcPr>
            <w:tcW w:type="dxa" w:w="2448"/>
          </w:tcPr>
          <w:p>
            <w:pPr>
              <w:spacing w:after="0"/>
            </w:pPr>
            <w:r/>
            <w:r>
              <w:rPr>
                <w:b w:val="0"/>
                <w:sz w:val="18"/>
              </w:rPr>
              <w:t>Fee and duty collection</w:t>
            </w:r>
          </w:p>
        </w:tc>
        <w:tc>
          <w:tcPr>
            <w:tcW w:type="dxa" w:w="2880"/>
          </w:tcPr>
          <w:p>
            <w:pPr>
              <w:spacing w:after="0"/>
            </w:pPr>
            <w:r/>
            <w:r>
              <w:rPr>
                <w:b w:val="0"/>
                <w:sz w:val="18"/>
              </w:rPr>
              <w:t>Collect duty, extra duty, 50% deposit, duty difference with interest; refunds</w:t>
            </w:r>
          </w:p>
        </w:tc>
        <w:tc>
          <w:tcPr>
            <w:tcW w:type="dxa" w:w="1872"/>
          </w:tcPr>
          <w:p>
            <w:pPr>
              <w:spacing w:after="0"/>
            </w:pPr>
            <w:r/>
            <w:r>
              <w:rPr>
                <w:b w:val="0"/>
                <w:sz w:val="18"/>
              </w:rPr>
              <w:t>Online</w:t>
            </w:r>
          </w:p>
        </w:tc>
      </w:tr>
      <w:tr>
        <w:tc>
          <w:tcPr>
            <w:tcW w:type="dxa" w:w="2160"/>
          </w:tcPr>
          <w:p>
            <w:pPr>
              <w:spacing w:after="0"/>
            </w:pPr>
            <w:r/>
            <w:r>
              <w:rPr>
                <w:b w:val="0"/>
                <w:sz w:val="18"/>
              </w:rPr>
              <w:t>Kaveri IT Cell</w:t>
            </w:r>
          </w:p>
        </w:tc>
        <w:tc>
          <w:tcPr>
            <w:tcW w:type="dxa" w:w="2448"/>
          </w:tcPr>
          <w:p>
            <w:pPr>
              <w:spacing w:after="0"/>
            </w:pPr>
            <w:r/>
            <w:r>
              <w:rPr>
                <w:b w:val="0"/>
                <w:sz w:val="18"/>
              </w:rPr>
              <w:t>Product and operations team</w:t>
            </w:r>
          </w:p>
        </w:tc>
        <w:tc>
          <w:tcPr>
            <w:tcW w:type="dxa" w:w="2880"/>
          </w:tcPr>
          <w:p>
            <w:pPr>
              <w:spacing w:after="0"/>
            </w:pPr>
            <w:r/>
            <w:r>
              <w:rPr>
                <w:b w:val="0"/>
                <w:sz w:val="18"/>
              </w:rPr>
              <w:t>Operate, monitor and support the module</w:t>
            </w:r>
          </w:p>
        </w:tc>
        <w:tc>
          <w:tcPr>
            <w:tcW w:type="dxa" w:w="1872"/>
          </w:tcPr>
          <w:p>
            <w:pPr>
              <w:spacing w:after="0"/>
            </w:pPr>
            <w:r/>
            <w:r>
              <w:rPr>
                <w:b w:val="0"/>
                <w:sz w:val="18"/>
              </w:rPr>
              <w:t>Back office</w:t>
            </w:r>
          </w:p>
        </w:tc>
      </w:tr>
    </w:tbl>
    <w:p/>
    <w:p>
      <w:pPr>
        <w:pStyle w:val="Heading2"/>
      </w:pPr>
      <w:r>
        <w:t>5. Definitions and glossary</w:t>
      </w:r>
    </w:p>
    <w:tbl>
      <w:tblPr>
        <w:tblStyle w:val="TableGrid"/>
        <w:tblW w:type="auto" w:w="0"/>
        <w:tblLook w:firstColumn="1" w:firstRow="1" w:lastColumn="0" w:lastRow="0" w:noHBand="0" w:noVBand="1" w:val="04A0"/>
      </w:tblPr>
      <w:tblGrid>
        <w:gridCol w:w="5112"/>
        <w:gridCol w:w="5112"/>
      </w:tblGrid>
      <w:tr>
        <w:tc>
          <w:tcPr>
            <w:tcW w:type="dxa" w:w="2592"/>
            <w:shd w:val="clear" w:color="auto" w:fill="D9E2F3"/>
          </w:tcPr>
          <w:p>
            <w:pPr>
              <w:spacing w:after="0"/>
            </w:pPr>
            <w:r/>
            <w:r>
              <w:rPr>
                <w:b/>
                <w:sz w:val="18"/>
              </w:rPr>
              <w:t>Term</w:t>
            </w:r>
          </w:p>
        </w:tc>
        <w:tc>
          <w:tcPr>
            <w:tcW w:type="dxa" w:w="6768"/>
            <w:shd w:val="clear" w:color="auto" w:fill="D9E2F3"/>
          </w:tcPr>
          <w:p>
            <w:pPr>
              <w:spacing w:after="0"/>
            </w:pPr>
            <w:r/>
            <w:r>
              <w:rPr>
                <w:b/>
                <w:sz w:val="18"/>
              </w:rPr>
              <w:t>Definition</w:t>
            </w:r>
          </w:p>
        </w:tc>
      </w:tr>
      <w:tr>
        <w:tc>
          <w:tcPr>
            <w:tcW w:type="dxa" w:w="2592"/>
          </w:tcPr>
          <w:p>
            <w:pPr>
              <w:spacing w:after="0"/>
            </w:pPr>
            <w:r/>
            <w:r>
              <w:rPr>
                <w:b w:val="0"/>
                <w:sz w:val="18"/>
              </w:rPr>
              <w:t>Guideline value (guidance value)</w:t>
            </w:r>
          </w:p>
        </w:tc>
        <w:tc>
          <w:tcPr>
            <w:tcW w:type="dxa" w:w="6768"/>
          </w:tcPr>
          <w:p>
            <w:pPr>
              <w:spacing w:after="0"/>
            </w:pPr>
            <w:r/>
            <w:r>
              <w:rPr>
                <w:b w:val="0"/>
                <w:sz w:val="18"/>
              </w:rPr>
              <w:t>Value computed by applying the CVC market value guideline rates to the property particulars</w:t>
            </w:r>
          </w:p>
        </w:tc>
      </w:tr>
      <w:tr>
        <w:tc>
          <w:tcPr>
            <w:tcW w:type="dxa" w:w="2592"/>
          </w:tcPr>
          <w:p>
            <w:pPr>
              <w:spacing w:after="0"/>
            </w:pPr>
            <w:r/>
            <w:r>
              <w:rPr>
                <w:b w:val="0"/>
                <w:sz w:val="18"/>
              </w:rPr>
              <w:t>Market value</w:t>
            </w:r>
          </w:p>
        </w:tc>
        <w:tc>
          <w:tcPr>
            <w:tcW w:type="dxa" w:w="6768"/>
          </w:tcPr>
          <w:p>
            <w:pPr>
              <w:spacing w:after="0"/>
            </w:pPr>
            <w:r/>
            <w:r>
              <w:rPr>
                <w:b w:val="0"/>
                <w:sz w:val="18"/>
              </w:rPr>
              <w:t>Higher of the open-market (guideline-based) value on the date of execution and the consideration (Sec. 2(mm)); for Government-party instruments, the consideration</w:t>
            </w:r>
          </w:p>
        </w:tc>
      </w:tr>
      <w:tr>
        <w:tc>
          <w:tcPr>
            <w:tcW w:type="dxa" w:w="2592"/>
          </w:tcPr>
          <w:p>
            <w:pPr>
              <w:spacing w:after="0"/>
            </w:pPr>
            <w:r/>
            <w:r>
              <w:rPr>
                <w:b w:val="0"/>
                <w:sz w:val="18"/>
              </w:rPr>
              <w:t>Consideration</w:t>
            </w:r>
          </w:p>
        </w:tc>
        <w:tc>
          <w:tcPr>
            <w:tcW w:type="dxa" w:w="6768"/>
          </w:tcPr>
          <w:p>
            <w:pPr>
              <w:spacing w:after="0"/>
            </w:pPr>
            <w:r/>
            <w:r>
              <w:rPr>
                <w:b w:val="0"/>
                <w:sz w:val="18"/>
              </w:rPr>
              <w:t>Amount set forth in the instrument as the price / value (Sec. 27)</w:t>
            </w:r>
          </w:p>
        </w:tc>
      </w:tr>
      <w:tr>
        <w:tc>
          <w:tcPr>
            <w:tcW w:type="dxa" w:w="2592"/>
          </w:tcPr>
          <w:p>
            <w:pPr>
              <w:spacing w:after="0"/>
            </w:pPr>
            <w:r/>
            <w:r>
              <w:rPr>
                <w:b w:val="0"/>
                <w:sz w:val="18"/>
              </w:rPr>
              <w:t>CVC</w:t>
            </w:r>
          </w:p>
        </w:tc>
        <w:tc>
          <w:tcPr>
            <w:tcW w:type="dxa" w:w="6768"/>
          </w:tcPr>
          <w:p>
            <w:pPr>
              <w:spacing w:after="0"/>
            </w:pPr>
            <w:r/>
            <w:r>
              <w:rPr>
                <w:b w:val="0"/>
                <w:sz w:val="18"/>
              </w:rPr>
              <w:t>Central Valuation Committee constituted under Sec. 45-B, chaired by the IGR &amp; Commissioner of Stamps</w:t>
            </w:r>
          </w:p>
        </w:tc>
      </w:tr>
      <w:tr>
        <w:tc>
          <w:tcPr>
            <w:tcW w:type="dxa" w:w="2592"/>
          </w:tcPr>
          <w:p>
            <w:pPr>
              <w:spacing w:after="0"/>
            </w:pPr>
            <w:r/>
            <w:r>
              <w:rPr>
                <w:b w:val="0"/>
                <w:sz w:val="18"/>
              </w:rPr>
              <w:t>Active rate version</w:t>
            </w:r>
          </w:p>
        </w:tc>
        <w:tc>
          <w:tcPr>
            <w:tcW w:type="dxa" w:w="6768"/>
          </w:tcPr>
          <w:p>
            <w:pPr>
              <w:spacing w:after="0"/>
            </w:pPr>
            <w:r/>
            <w:r>
              <w:rPr>
                <w:b w:val="0"/>
                <w:sz w:val="18"/>
              </w:rPr>
              <w:t>The published, gazette-linked CVC guideline rate set effective on a given date</w:t>
            </w:r>
          </w:p>
        </w:tc>
      </w:tr>
      <w:tr>
        <w:tc>
          <w:tcPr>
            <w:tcW w:type="dxa" w:w="2592"/>
          </w:tcPr>
          <w:p>
            <w:pPr>
              <w:spacing w:after="0"/>
            </w:pPr>
            <w:r/>
            <w:r>
              <w:rPr>
                <w:b w:val="0"/>
                <w:sz w:val="18"/>
              </w:rPr>
              <w:t>Valuation area / zone</w:t>
            </w:r>
          </w:p>
        </w:tc>
        <w:tc>
          <w:tcPr>
            <w:tcW w:type="dxa" w:w="6768"/>
          </w:tcPr>
          <w:p>
            <w:pPr>
              <w:spacing w:after="0"/>
            </w:pPr>
            <w:r/>
            <w:r>
              <w:rPr>
                <w:b w:val="0"/>
                <w:sz w:val="18"/>
              </w:rPr>
              <w:t>Geographic unit (village, ward, layout, road stretch) to which a CVC rate applies</w:t>
            </w:r>
          </w:p>
        </w:tc>
      </w:tr>
      <w:tr>
        <w:tc>
          <w:tcPr>
            <w:tcW w:type="dxa" w:w="2592"/>
          </w:tcPr>
          <w:p>
            <w:pPr>
              <w:spacing w:after="0"/>
            </w:pPr>
            <w:r/>
            <w:r>
              <w:rPr>
                <w:b w:val="0"/>
                <w:sz w:val="18"/>
              </w:rPr>
              <w:t>Rural / urban zone</w:t>
            </w:r>
          </w:p>
        </w:tc>
        <w:tc>
          <w:tcPr>
            <w:tcW w:type="dxa" w:w="6768"/>
          </w:tcPr>
          <w:p>
            <w:pPr>
              <w:spacing w:after="0"/>
            </w:pPr>
            <w:r/>
            <w:r>
              <w:rPr>
                <w:b w:val="0"/>
                <w:sz w:val="18"/>
              </w:rPr>
              <w:t>Classification of the property location (Gram Panchayat vs Town / City Municipal Council, City Corporation, Development Authority) that drives building rates</w:t>
            </w:r>
          </w:p>
        </w:tc>
      </w:tr>
      <w:tr>
        <w:tc>
          <w:tcPr>
            <w:tcW w:type="dxa" w:w="2592"/>
          </w:tcPr>
          <w:p>
            <w:pPr>
              <w:spacing w:after="0"/>
            </w:pPr>
            <w:r/>
            <w:r>
              <w:rPr>
                <w:b w:val="0"/>
                <w:sz w:val="18"/>
              </w:rPr>
              <w:t>KSRSAC</w:t>
            </w:r>
          </w:p>
        </w:tc>
        <w:tc>
          <w:tcPr>
            <w:tcW w:type="dxa" w:w="6768"/>
          </w:tcPr>
          <w:p>
            <w:pPr>
              <w:spacing w:after="0"/>
            </w:pPr>
            <w:r/>
            <w:r>
              <w:rPr>
                <w:b w:val="0"/>
                <w:sz w:val="18"/>
              </w:rPr>
              <w:t>Karnataka State Remote Sensing Applications Centre — GIS / cadastral data provider</w:t>
            </w:r>
          </w:p>
        </w:tc>
      </w:tr>
      <w:tr>
        <w:tc>
          <w:tcPr>
            <w:tcW w:type="dxa" w:w="2592"/>
          </w:tcPr>
          <w:p>
            <w:pPr>
              <w:spacing w:after="0"/>
            </w:pPr>
            <w:r/>
            <w:r>
              <w:rPr>
                <w:b w:val="0"/>
                <w:sz w:val="18"/>
              </w:rPr>
              <w:t>Parcel</w:t>
            </w:r>
          </w:p>
        </w:tc>
        <w:tc>
          <w:tcPr>
            <w:tcW w:type="dxa" w:w="6768"/>
          </w:tcPr>
          <w:p>
            <w:pPr>
              <w:spacing w:after="0"/>
            </w:pPr>
            <w:r/>
            <w:r>
              <w:rPr>
                <w:b w:val="0"/>
                <w:sz w:val="18"/>
              </w:rPr>
              <w:t>Spatial polygon of a survey / property unit returned by KSRSAC</w:t>
            </w:r>
          </w:p>
        </w:tc>
      </w:tr>
      <w:tr>
        <w:tc>
          <w:tcPr>
            <w:tcW w:type="dxa" w:w="2592"/>
          </w:tcPr>
          <w:p>
            <w:pPr>
              <w:spacing w:after="0"/>
            </w:pPr>
            <w:r/>
            <w:r>
              <w:rPr>
                <w:b w:val="0"/>
                <w:sz w:val="18"/>
              </w:rPr>
              <w:t>GIS map snapshot</w:t>
            </w:r>
          </w:p>
        </w:tc>
        <w:tc>
          <w:tcPr>
            <w:tcW w:type="dxa" w:w="6768"/>
          </w:tcPr>
          <w:p>
            <w:pPr>
              <w:spacing w:after="0"/>
            </w:pPr>
            <w:r/>
            <w:r>
              <w:rPr>
                <w:b w:val="0"/>
                <w:sz w:val="18"/>
              </w:rPr>
              <w:t>Stored image with parcel, valuation zone, coordinates, layer version and timestamp used as valuation evidence</w:t>
            </w:r>
          </w:p>
        </w:tc>
      </w:tr>
      <w:tr>
        <w:tc>
          <w:tcPr>
            <w:tcW w:type="dxa" w:w="2592"/>
          </w:tcPr>
          <w:p>
            <w:pPr>
              <w:spacing w:after="0"/>
            </w:pPr>
            <w:r/>
            <w:r>
              <w:rPr>
                <w:b w:val="0"/>
                <w:sz w:val="18"/>
              </w:rPr>
              <w:t>Pot Hissa</w:t>
            </w:r>
          </w:p>
        </w:tc>
        <w:tc>
          <w:tcPr>
            <w:tcW w:type="dxa" w:w="6768"/>
          </w:tcPr>
          <w:p>
            <w:pPr>
              <w:spacing w:after="0"/>
            </w:pPr>
            <w:r/>
            <w:r>
              <w:rPr>
                <w:b w:val="0"/>
                <w:sz w:val="18"/>
              </w:rPr>
              <w:t>Sub-division of a survey number</w:t>
            </w:r>
          </w:p>
        </w:tc>
      </w:tr>
      <w:tr>
        <w:tc>
          <w:tcPr>
            <w:tcW w:type="dxa" w:w="2592"/>
          </w:tcPr>
          <w:p>
            <w:pPr>
              <w:spacing w:after="0"/>
            </w:pPr>
            <w:r/>
            <w:r>
              <w:rPr>
                <w:b w:val="0"/>
                <w:sz w:val="18"/>
              </w:rPr>
              <w:t>City survey / CTS</w:t>
            </w:r>
          </w:p>
        </w:tc>
        <w:tc>
          <w:tcPr>
            <w:tcW w:type="dxa" w:w="6768"/>
          </w:tcPr>
          <w:p>
            <w:pPr>
              <w:spacing w:after="0"/>
            </w:pPr>
            <w:r/>
            <w:r>
              <w:rPr>
                <w:b w:val="0"/>
                <w:sz w:val="18"/>
              </w:rPr>
              <w:t>Urban survey number system</w:t>
            </w:r>
          </w:p>
        </w:tc>
      </w:tr>
      <w:tr>
        <w:tc>
          <w:tcPr>
            <w:tcW w:type="dxa" w:w="2592"/>
          </w:tcPr>
          <w:p>
            <w:pPr>
              <w:spacing w:after="0"/>
            </w:pPr>
            <w:r/>
            <w:r>
              <w:rPr>
                <w:b w:val="0"/>
                <w:sz w:val="18"/>
              </w:rPr>
              <w:t>UPIN / ULPIN</w:t>
            </w:r>
          </w:p>
        </w:tc>
        <w:tc>
          <w:tcPr>
            <w:tcW w:type="dxa" w:w="6768"/>
          </w:tcPr>
          <w:p>
            <w:pPr>
              <w:spacing w:after="0"/>
            </w:pPr>
            <w:r/>
            <w:r>
              <w:rPr>
                <w:b w:val="0"/>
                <w:sz w:val="18"/>
              </w:rPr>
              <w:t>Unique (Land) Parcel Identification Number</w:t>
            </w:r>
          </w:p>
        </w:tc>
      </w:tr>
      <w:tr>
        <w:tc>
          <w:tcPr>
            <w:tcW w:type="dxa" w:w="2592"/>
          </w:tcPr>
          <w:p>
            <w:pPr>
              <w:spacing w:after="0"/>
            </w:pPr>
            <w:r/>
            <w:r>
              <w:rPr>
                <w:b w:val="0"/>
                <w:sz w:val="18"/>
              </w:rPr>
              <w:t>Gunta / cent</w:t>
            </w:r>
          </w:p>
        </w:tc>
        <w:tc>
          <w:tcPr>
            <w:tcW w:type="dxa" w:w="6768"/>
          </w:tcPr>
          <w:p>
            <w:pPr>
              <w:spacing w:after="0"/>
            </w:pPr>
            <w:r/>
            <w:r>
              <w:rPr>
                <w:b w:val="0"/>
                <w:sz w:val="18"/>
              </w:rPr>
              <w:t>Land area units: 1 acre = 40 guntas = 100 cents = 4,046.86 sq.m; 1 gunta ≈ 101.17 sq.m; 1 cent ≈ 40.47 sq.m</w:t>
            </w:r>
          </w:p>
        </w:tc>
      </w:tr>
      <w:tr>
        <w:tc>
          <w:tcPr>
            <w:tcW w:type="dxa" w:w="2592"/>
          </w:tcPr>
          <w:p>
            <w:pPr>
              <w:spacing w:after="0"/>
            </w:pPr>
            <w:r/>
            <w:r>
              <w:rPr>
                <w:b w:val="0"/>
                <w:sz w:val="18"/>
              </w:rPr>
              <w:t>Manual area selection</w:t>
            </w:r>
          </w:p>
        </w:tc>
        <w:tc>
          <w:tcPr>
            <w:tcW w:type="dxa" w:w="6768"/>
          </w:tcPr>
          <w:p>
            <w:pPr>
              <w:spacing w:after="0"/>
            </w:pPr>
            <w:r/>
            <w:r>
              <w:rPr>
                <w:b w:val="0"/>
                <w:sz w:val="18"/>
              </w:rPr>
              <w:t>Valuation area chosen by the user (with reason) when the GIS parcel is not found or lies outside the selected village; flagged for SR</w:t>
            </w:r>
          </w:p>
        </w:tc>
      </w:tr>
      <w:tr>
        <w:tc>
          <w:tcPr>
            <w:tcW w:type="dxa" w:w="2592"/>
          </w:tcPr>
          <w:p>
            <w:pPr>
              <w:spacing w:after="0"/>
            </w:pPr>
            <w:r/>
            <w:r>
              <w:rPr>
                <w:b w:val="0"/>
                <w:sz w:val="18"/>
              </w:rPr>
              <w:t>Revaluation (send back)</w:t>
            </w:r>
          </w:p>
        </w:tc>
        <w:tc>
          <w:tcPr>
            <w:tcW w:type="dxa" w:w="6768"/>
          </w:tcPr>
          <w:p>
            <w:pPr>
              <w:spacing w:after="0"/>
            </w:pPr>
            <w:r/>
            <w:r>
              <w:rPr>
                <w:b w:val="0"/>
                <w:sz w:val="18"/>
              </w:rPr>
              <w:t>SR returns the application to the party to correct property features / valuation</w:t>
            </w:r>
          </w:p>
        </w:tc>
      </w:tr>
      <w:tr>
        <w:tc>
          <w:tcPr>
            <w:tcW w:type="dxa" w:w="2592"/>
          </w:tcPr>
          <w:p>
            <w:pPr>
              <w:spacing w:after="0"/>
            </w:pPr>
            <w:r/>
            <w:r>
              <w:rPr>
                <w:b w:val="0"/>
                <w:sz w:val="18"/>
              </w:rPr>
              <w:t>Undervaluation reference</w:t>
            </w:r>
          </w:p>
        </w:tc>
        <w:tc>
          <w:tcPr>
            <w:tcW w:type="dxa" w:w="6768"/>
          </w:tcPr>
          <w:p>
            <w:pPr>
              <w:spacing w:after="0"/>
            </w:pPr>
            <w:r/>
            <w:r>
              <w:rPr>
                <w:b w:val="0"/>
                <w:sz w:val="18"/>
              </w:rPr>
              <w:t>Reference of an instrument to the Deputy Commissioner under Sec. 45-A(1)</w:t>
            </w:r>
          </w:p>
        </w:tc>
      </w:tr>
      <w:tr>
        <w:tc>
          <w:tcPr>
            <w:tcW w:type="dxa" w:w="2592"/>
          </w:tcPr>
          <w:p>
            <w:pPr>
              <w:spacing w:after="0"/>
            </w:pPr>
            <w:r/>
            <w:r>
              <w:rPr>
                <w:b w:val="0"/>
                <w:sz w:val="18"/>
              </w:rPr>
              <w:t>Adjudicated value</w:t>
            </w:r>
          </w:p>
        </w:tc>
        <w:tc>
          <w:tcPr>
            <w:tcW w:type="dxa" w:w="6768"/>
          </w:tcPr>
          <w:p>
            <w:pPr>
              <w:spacing w:after="0"/>
            </w:pPr>
            <w:r/>
            <w:r>
              <w:rPr>
                <w:b w:val="0"/>
                <w:sz w:val="18"/>
              </w:rPr>
              <w:t>Market value determined by the DC (or appellate authority) under Sec. 45-A; supersedes the guideline-derived value for that instrument</w:t>
            </w:r>
          </w:p>
        </w:tc>
      </w:tr>
      <w:tr>
        <w:tc>
          <w:tcPr>
            <w:tcW w:type="dxa" w:w="2592"/>
          </w:tcPr>
          <w:p>
            <w:pPr>
              <w:spacing w:after="0"/>
            </w:pPr>
            <w:r/>
            <w:r>
              <w:rPr>
                <w:b w:val="0"/>
                <w:sz w:val="18"/>
              </w:rPr>
              <w:t>Duty difference</w:t>
            </w:r>
          </w:p>
        </w:tc>
        <w:tc>
          <w:tcPr>
            <w:tcW w:type="dxa" w:w="6768"/>
          </w:tcPr>
          <w:p>
            <w:pPr>
              <w:spacing w:after="0"/>
            </w:pPr>
            <w:r/>
            <w:r>
              <w:rPr>
                <w:b w:val="0"/>
                <w:sz w:val="18"/>
              </w:rPr>
              <w:t>Additional duty payable on the adjudicated value over duty already paid</w:t>
            </w:r>
          </w:p>
        </w:tc>
      </w:tr>
      <w:tr>
        <w:tc>
          <w:tcPr>
            <w:tcW w:type="dxa" w:w="2592"/>
          </w:tcPr>
          <w:p>
            <w:pPr>
              <w:spacing w:after="0"/>
            </w:pPr>
            <w:r/>
            <w:r>
              <w:rPr>
                <w:b w:val="0"/>
                <w:sz w:val="18"/>
              </w:rPr>
              <w:t>Suo motu examination</w:t>
            </w:r>
          </w:p>
        </w:tc>
        <w:tc>
          <w:tcPr>
            <w:tcW w:type="dxa" w:w="6768"/>
          </w:tcPr>
          <w:p>
            <w:pPr>
              <w:spacing w:after="0"/>
            </w:pPr>
            <w:r/>
            <w:r>
              <w:rPr>
                <w:b w:val="0"/>
                <w:sz w:val="18"/>
              </w:rPr>
              <w:t>DC's own-motion examination of a registered instrument within two years (Sec. 45-A(3))</w:t>
            </w:r>
          </w:p>
        </w:tc>
      </w:tr>
    </w:tbl>
    <w:p/>
    <w:p>
      <w:pPr>
        <w:pStyle w:val="Heading2"/>
      </w:pPr>
      <w:r>
        <w:t>6. Current state</w:t>
      </w:r>
    </w:p>
    <w:p>
      <w:pPr/>
      <w:r>
        <w:t>Guideline value is calculated in Kaveri 2.0 from CVC rates selected through village / area masters, without spatial validation. Rate data, building-rate zone mapping, unit conversion and the duty calculator are loosely coupled, and the Sec. 45-A undervaluation process is partly manual. The pain points below are evidenced from ServiceDesk tickets and categorized issues discussed on 01-09-2026.</w:t>
      </w:r>
    </w:p>
    <w:p>
      <w:pPr>
        <w:pStyle w:val="Heading3"/>
      </w:pPr>
      <w:r>
        <w:t>6.1 As-Is pain points</w:t>
      </w:r>
    </w:p>
    <w:p>
      <w:pPr/>
      <w:r>
        <w:t>The Addressed in column maps each item to the To-Be process (7) and to functional / non-functional requirements, risks and fallbacks (8–11).</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576"/>
            <w:shd w:val="clear" w:color="auto" w:fill="D9E2F3"/>
          </w:tcPr>
          <w:p>
            <w:pPr>
              <w:spacing w:after="0"/>
            </w:pPr>
            <w:r/>
            <w:r>
              <w:rPr>
                <w:b/>
                <w:sz w:val="18"/>
              </w:rPr>
              <w:t>Sr.No</w:t>
            </w:r>
          </w:p>
        </w:tc>
        <w:tc>
          <w:tcPr>
            <w:tcW w:type="dxa" w:w="1872"/>
            <w:shd w:val="clear" w:color="auto" w:fill="D9E2F3"/>
          </w:tcPr>
          <w:p>
            <w:pPr>
              <w:spacing w:after="0"/>
            </w:pPr>
            <w:r/>
            <w:r>
              <w:rPr>
                <w:b/>
                <w:sz w:val="18"/>
              </w:rPr>
              <w:t>Pain Point</w:t>
            </w:r>
          </w:p>
        </w:tc>
        <w:tc>
          <w:tcPr>
            <w:tcW w:type="dxa" w:w="2880"/>
            <w:shd w:val="clear" w:color="auto" w:fill="D9E2F3"/>
          </w:tcPr>
          <w:p>
            <w:pPr>
              <w:spacing w:after="0"/>
            </w:pPr>
            <w:r/>
            <w:r>
              <w:rPr>
                <w:b/>
                <w:sz w:val="18"/>
              </w:rPr>
              <w:t>Description</w:t>
            </w:r>
          </w:p>
        </w:tc>
        <w:tc>
          <w:tcPr>
            <w:tcW w:type="dxa" w:w="1728"/>
            <w:shd w:val="clear" w:color="auto" w:fill="D9E2F3"/>
          </w:tcPr>
          <w:p>
            <w:pPr>
              <w:spacing w:after="0"/>
            </w:pPr>
            <w:r/>
            <w:r>
              <w:rPr>
                <w:b/>
                <w:sz w:val="18"/>
              </w:rPr>
              <w:t>Source</w:t>
            </w:r>
          </w:p>
        </w:tc>
        <w:tc>
          <w:tcPr>
            <w:tcW w:type="dxa" w:w="2304"/>
            <w:shd w:val="clear" w:color="auto" w:fill="D9E2F3"/>
          </w:tcPr>
          <w:p>
            <w:pPr>
              <w:spacing w:after="0"/>
            </w:pPr>
            <w:r/>
            <w:r>
              <w:rPr>
                <w:b/>
                <w:sz w:val="18"/>
              </w:rPr>
              <w:t>Addressed in (this BRD)</w:t>
            </w:r>
          </w:p>
        </w:tc>
      </w:tr>
      <w:tr>
        <w:tc>
          <w:tcPr>
            <w:tcW w:type="dxa" w:w="576"/>
          </w:tcPr>
          <w:p>
            <w:pPr>
              <w:spacing w:after="0"/>
            </w:pPr>
            <w:r/>
            <w:r>
              <w:rPr>
                <w:b w:val="0"/>
                <w:sz w:val="18"/>
              </w:rPr>
              <w:t>1</w:t>
            </w:r>
          </w:p>
        </w:tc>
        <w:tc>
          <w:tcPr>
            <w:tcW w:type="dxa" w:w="1872"/>
          </w:tcPr>
          <w:p>
            <w:pPr>
              <w:spacing w:after="0"/>
            </w:pPr>
            <w:r/>
            <w:r>
              <w:rPr>
                <w:b w:val="0"/>
                <w:sz w:val="18"/>
              </w:rPr>
              <w:t>Wrong / blank market (guideline) value shown</w:t>
            </w:r>
          </w:p>
        </w:tc>
        <w:tc>
          <w:tcPr>
            <w:tcW w:type="dxa" w:w="2880"/>
          </w:tcPr>
          <w:p>
            <w:pPr>
              <w:spacing w:after="0"/>
            </w:pPr>
            <w:r/>
            <w:r>
              <w:rPr>
                <w:b w:val="0"/>
                <w:sz w:val="18"/>
              </w:rPr>
              <w:t>Market value blank on sale deed; valuation not showing; agriculture land valuation not showing; wrong market value; market value wrong in EC; market value not in SR login</w:t>
            </w:r>
          </w:p>
        </w:tc>
        <w:tc>
          <w:tcPr>
            <w:tcW w:type="dxa" w:w="1728"/>
          </w:tcPr>
          <w:p>
            <w:pPr>
              <w:spacing w:after="0"/>
            </w:pPr>
            <w:r/>
            <w:r>
              <w:rPr>
                <w:b w:val="0"/>
                <w:sz w:val="18"/>
              </w:rPr>
              <w:t>Service Desk 29357, 29532, 27923, 31438, 18690, 29931</w:t>
            </w:r>
          </w:p>
        </w:tc>
        <w:tc>
          <w:tcPr>
            <w:tcW w:type="dxa" w:w="2304"/>
          </w:tcPr>
          <w:p>
            <w:pPr>
              <w:spacing w:after="0"/>
            </w:pPr>
            <w:r/>
            <w:r>
              <w:rPr>
                <w:b w:val="0"/>
                <w:sz w:val="18"/>
              </w:rPr>
              <w:t>7.1 steps 6–10; 8.3 FR-GVC-010–015; 8.4 FR-GVC-024; 8.5 FR-GVC-037; FB-GVC-003</w:t>
            </w:r>
          </w:p>
        </w:tc>
      </w:tr>
      <w:tr>
        <w:tc>
          <w:tcPr>
            <w:tcW w:type="dxa" w:w="576"/>
          </w:tcPr>
          <w:p>
            <w:pPr>
              <w:spacing w:after="0"/>
            </w:pPr>
            <w:r/>
            <w:r>
              <w:rPr>
                <w:b w:val="0"/>
                <w:sz w:val="18"/>
              </w:rPr>
              <w:t>2</w:t>
            </w:r>
          </w:p>
        </w:tc>
        <w:tc>
          <w:tcPr>
            <w:tcW w:type="dxa" w:w="1872"/>
          </w:tcPr>
          <w:p>
            <w:pPr>
              <w:spacing w:after="0"/>
            </w:pPr>
            <w:r/>
            <w:r>
              <w:rPr>
                <w:b w:val="0"/>
                <w:sz w:val="18"/>
              </w:rPr>
              <w:t>Wrong building rate applied for rural properties</w:t>
            </w:r>
          </w:p>
        </w:tc>
        <w:tc>
          <w:tcPr>
            <w:tcW w:type="dxa" w:w="2880"/>
          </w:tcPr>
          <w:p>
            <w:pPr>
              <w:spacing w:after="0"/>
            </w:pPr>
            <w:r/>
            <w:r>
              <w:rPr>
                <w:b w:val="0"/>
                <w:sz w:val="18"/>
              </w:rPr>
              <w:t>Rural properties calculated on TMC / CMC rates instead of rural rates</w:t>
            </w:r>
          </w:p>
        </w:tc>
        <w:tc>
          <w:tcPr>
            <w:tcW w:type="dxa" w:w="1728"/>
          </w:tcPr>
          <w:p>
            <w:pPr>
              <w:spacing w:after="0"/>
            </w:pPr>
            <w:r/>
            <w:r>
              <w:rPr>
                <w:b w:val="0"/>
                <w:sz w:val="18"/>
              </w:rPr>
              <w:t>Service Desk 29393; Categorized 93332</w:t>
            </w:r>
          </w:p>
        </w:tc>
        <w:tc>
          <w:tcPr>
            <w:tcW w:type="dxa" w:w="2304"/>
          </w:tcPr>
          <w:p>
            <w:pPr>
              <w:spacing w:after="0"/>
            </w:pPr>
            <w:r/>
            <w:r>
              <w:rPr>
                <w:b w:val="0"/>
                <w:sz w:val="18"/>
              </w:rPr>
              <w:t>7.1 step 5; 8.2 FR-GIS-003; 8.4 FR-GVC-021; BR-GVC-004</w:t>
            </w:r>
          </w:p>
        </w:tc>
      </w:tr>
      <w:tr>
        <w:tc>
          <w:tcPr>
            <w:tcW w:type="dxa" w:w="576"/>
          </w:tcPr>
          <w:p>
            <w:pPr>
              <w:spacing w:after="0"/>
            </w:pPr>
            <w:r/>
            <w:r>
              <w:rPr>
                <w:b w:val="0"/>
                <w:sz w:val="18"/>
              </w:rPr>
              <w:t>3</w:t>
            </w:r>
          </w:p>
        </w:tc>
        <w:tc>
          <w:tcPr>
            <w:tcW w:type="dxa" w:w="1872"/>
          </w:tcPr>
          <w:p>
            <w:pPr>
              <w:spacing w:after="0"/>
            </w:pPr>
            <w:r/>
            <w:r>
              <w:rPr>
                <w:b w:val="0"/>
                <w:sz w:val="18"/>
              </w:rPr>
              <w:t>Unit-level valuation fails (gunta / area)</w:t>
            </w:r>
          </w:p>
        </w:tc>
        <w:tc>
          <w:tcPr>
            <w:tcW w:type="dxa" w:w="2880"/>
          </w:tcPr>
          <w:p>
            <w:pPr>
              <w:spacing w:after="0"/>
            </w:pPr>
            <w:r/>
            <w:r>
              <w:rPr>
                <w:b w:val="0"/>
                <w:sz w:val="18"/>
              </w:rPr>
              <w:t>Valuation for 1 gunta not showing; gunta / cent conversion issues</w:t>
            </w:r>
          </w:p>
        </w:tc>
        <w:tc>
          <w:tcPr>
            <w:tcW w:type="dxa" w:w="1728"/>
          </w:tcPr>
          <w:p>
            <w:pPr>
              <w:spacing w:after="0"/>
            </w:pPr>
            <w:r/>
            <w:r>
              <w:rPr>
                <w:b w:val="0"/>
                <w:sz w:val="18"/>
              </w:rPr>
              <w:t>Service Desk 31788, 24718, 26498, 6097</w:t>
            </w:r>
          </w:p>
        </w:tc>
        <w:tc>
          <w:tcPr>
            <w:tcW w:type="dxa" w:w="2304"/>
          </w:tcPr>
          <w:p>
            <w:pPr>
              <w:spacing w:after="0"/>
            </w:pPr>
            <w:r/>
            <w:r>
              <w:rPr>
                <w:b w:val="0"/>
                <w:sz w:val="18"/>
              </w:rPr>
              <w:t>8.1 FR-GVC-004; 8.4 FR-GVC-020; BR-GVC-005</w:t>
            </w:r>
          </w:p>
        </w:tc>
      </w:tr>
      <w:tr>
        <w:tc>
          <w:tcPr>
            <w:tcW w:type="dxa" w:w="576"/>
          </w:tcPr>
          <w:p>
            <w:pPr>
              <w:spacing w:after="0"/>
            </w:pPr>
            <w:r/>
            <w:r>
              <w:rPr>
                <w:b w:val="0"/>
                <w:sz w:val="18"/>
              </w:rPr>
              <w:t>4</w:t>
            </w:r>
          </w:p>
        </w:tc>
        <w:tc>
          <w:tcPr>
            <w:tcW w:type="dxa" w:w="1872"/>
          </w:tcPr>
          <w:p>
            <w:pPr>
              <w:spacing w:after="0"/>
            </w:pPr>
            <w:r/>
            <w:r>
              <w:rPr>
                <w:b w:val="0"/>
                <w:sz w:val="18"/>
              </w:rPr>
              <w:t>Duty / fee calculator fails after valuation</w:t>
            </w:r>
          </w:p>
        </w:tc>
        <w:tc>
          <w:tcPr>
            <w:tcW w:type="dxa" w:w="2880"/>
          </w:tcPr>
          <w:p>
            <w:pPr>
              <w:spacing w:after="0"/>
            </w:pPr>
            <w:r/>
            <w:r>
              <w:rPr>
                <w:b w:val="0"/>
                <w:sz w:val="18"/>
              </w:rPr>
              <w:t>Unable to calculate stamp duty and registration fee; citizen valuates but fee is zero and Save is disabled; fee zero in summary</w:t>
            </w:r>
          </w:p>
        </w:tc>
        <w:tc>
          <w:tcPr>
            <w:tcW w:type="dxa" w:w="1728"/>
          </w:tcPr>
          <w:p>
            <w:pPr>
              <w:spacing w:after="0"/>
            </w:pPr>
            <w:r/>
            <w:r>
              <w:rPr>
                <w:b w:val="0"/>
                <w:sz w:val="18"/>
              </w:rPr>
              <w:t>Service Desk 23369, 28596, 26292</w:t>
            </w:r>
          </w:p>
        </w:tc>
        <w:tc>
          <w:tcPr>
            <w:tcW w:type="dxa" w:w="2304"/>
          </w:tcPr>
          <w:p>
            <w:pPr>
              <w:spacing w:after="0"/>
            </w:pPr>
            <w:r/>
            <w:r>
              <w:rPr>
                <w:b w:val="0"/>
                <w:sz w:val="18"/>
              </w:rPr>
              <w:t>7.1 step 11; 8.5 FR-GVC-033; BR-GVC-007; FB-GVC-004</w:t>
            </w:r>
          </w:p>
        </w:tc>
      </w:tr>
      <w:tr>
        <w:tc>
          <w:tcPr>
            <w:tcW w:type="dxa" w:w="576"/>
          </w:tcPr>
          <w:p>
            <w:pPr>
              <w:spacing w:after="0"/>
            </w:pPr>
            <w:r/>
            <w:r>
              <w:rPr>
                <w:b w:val="0"/>
                <w:sz w:val="18"/>
              </w:rPr>
              <w:t>5</w:t>
            </w:r>
          </w:p>
        </w:tc>
        <w:tc>
          <w:tcPr>
            <w:tcW w:type="dxa" w:w="1872"/>
          </w:tcPr>
          <w:p>
            <w:pPr>
              <w:spacing w:after="0"/>
            </w:pPr>
            <w:r/>
            <w:r>
              <w:rPr>
                <w:b w:val="0"/>
                <w:sz w:val="18"/>
              </w:rPr>
              <w:t>Adjudicated Sec. 45-A value not respected</w:t>
            </w:r>
          </w:p>
        </w:tc>
        <w:tc>
          <w:tcPr>
            <w:tcW w:type="dxa" w:w="2880"/>
          </w:tcPr>
          <w:p>
            <w:pPr>
              <w:spacing w:after="0"/>
            </w:pPr>
            <w:r/>
            <w:r>
              <w:rPr>
                <w:b w:val="0"/>
                <w:sz w:val="18"/>
              </w:rPr>
              <w:t>Summary shows market value higher than the DR-adjudicated value under Sec. 45-A; citizen sees SR value higher than the undervaluation amount</w:t>
            </w:r>
          </w:p>
        </w:tc>
        <w:tc>
          <w:tcPr>
            <w:tcW w:type="dxa" w:w="1728"/>
          </w:tcPr>
          <w:p>
            <w:pPr>
              <w:spacing w:after="0"/>
            </w:pPr>
            <w:r/>
            <w:r>
              <w:rPr>
                <w:b w:val="0"/>
                <w:sz w:val="18"/>
              </w:rPr>
              <w:t>Service Desk 10531, 31773</w:t>
            </w:r>
          </w:p>
        </w:tc>
        <w:tc>
          <w:tcPr>
            <w:tcW w:type="dxa" w:w="2304"/>
          </w:tcPr>
          <w:p>
            <w:pPr>
              <w:spacing w:after="0"/>
            </w:pPr>
            <w:r/>
            <w:r>
              <w:rPr>
                <w:b w:val="0"/>
                <w:sz w:val="18"/>
              </w:rPr>
              <w:t>7.2 step 7; 8.5 FR-GVC-035; 8.8 FR-UV-014; BR-UV-005</w:t>
            </w:r>
          </w:p>
        </w:tc>
      </w:tr>
      <w:tr>
        <w:tc>
          <w:tcPr>
            <w:tcW w:type="dxa" w:w="576"/>
          </w:tcPr>
          <w:p>
            <w:pPr>
              <w:spacing w:after="0"/>
            </w:pPr>
            <w:r/>
            <w:r>
              <w:rPr>
                <w:b w:val="0"/>
                <w:sz w:val="18"/>
              </w:rPr>
              <w:t>6</w:t>
            </w:r>
          </w:p>
        </w:tc>
        <w:tc>
          <w:tcPr>
            <w:tcW w:type="dxa" w:w="1872"/>
          </w:tcPr>
          <w:p>
            <w:pPr>
              <w:spacing w:after="0"/>
            </w:pPr>
            <w:r/>
            <w:r>
              <w:rPr>
                <w:b w:val="0"/>
                <w:sz w:val="18"/>
              </w:rPr>
              <w:t>Instrument-specific gaps</w:t>
            </w:r>
          </w:p>
        </w:tc>
        <w:tc>
          <w:tcPr>
            <w:tcW w:type="dxa" w:w="2880"/>
          </w:tcPr>
          <w:p>
            <w:pPr>
              <w:spacing w:after="0"/>
            </w:pPr>
            <w:r/>
            <w:r>
              <w:rPr>
                <w:b w:val="0"/>
                <w:sz w:val="18"/>
              </w:rPr>
              <w:t>Request for market-value estimation for trust deed; partition / gift fee and duty wrong on articles</w:t>
            </w:r>
          </w:p>
        </w:tc>
        <w:tc>
          <w:tcPr>
            <w:tcW w:type="dxa" w:w="1728"/>
          </w:tcPr>
          <w:p>
            <w:pPr>
              <w:spacing w:after="0"/>
            </w:pPr>
            <w:r/>
            <w:r>
              <w:rPr>
                <w:b w:val="0"/>
                <w:sz w:val="18"/>
              </w:rPr>
              <w:t>Service Desk 31534; Categorized fee issues 31257, 93306</w:t>
            </w:r>
          </w:p>
        </w:tc>
        <w:tc>
          <w:tcPr>
            <w:tcW w:type="dxa" w:w="2304"/>
          </w:tcPr>
          <w:p>
            <w:pPr>
              <w:spacing w:after="0"/>
            </w:pPr>
            <w:r/>
            <w:r>
              <w:rPr>
                <w:b w:val="0"/>
                <w:sz w:val="18"/>
              </w:rPr>
              <w:t>3.5; 8.5 FR-GVC-034; 8.7 FR-UV-001</w:t>
            </w:r>
          </w:p>
        </w:tc>
      </w:tr>
      <w:tr>
        <w:tc>
          <w:tcPr>
            <w:tcW w:type="dxa" w:w="576"/>
          </w:tcPr>
          <w:p>
            <w:pPr>
              <w:spacing w:after="0"/>
            </w:pPr>
            <w:r/>
            <w:r>
              <w:rPr>
                <w:b w:val="0"/>
                <w:sz w:val="18"/>
              </w:rPr>
              <w:t>7</w:t>
            </w:r>
          </w:p>
        </w:tc>
        <w:tc>
          <w:tcPr>
            <w:tcW w:type="dxa" w:w="1872"/>
          </w:tcPr>
          <w:p>
            <w:pPr>
              <w:spacing w:after="0"/>
            </w:pPr>
            <w:r/>
            <w:r>
              <w:rPr>
                <w:b w:val="0"/>
                <w:sz w:val="18"/>
              </w:rPr>
              <w:t>CVC rates missing in SR and Citizen login</w:t>
            </w:r>
          </w:p>
        </w:tc>
        <w:tc>
          <w:tcPr>
            <w:tcW w:type="dxa" w:w="2880"/>
          </w:tcPr>
          <w:p>
            <w:pPr>
              <w:spacing w:after="0"/>
            </w:pPr>
            <w:r/>
            <w:r>
              <w:rPr>
                <w:b w:val="0"/>
                <w:sz w:val="18"/>
              </w:rPr>
              <w:t>"In CVC module some rates are not displaying in SR Login and Citizen login"</w:t>
            </w:r>
          </w:p>
        </w:tc>
        <w:tc>
          <w:tcPr>
            <w:tcW w:type="dxa" w:w="1728"/>
          </w:tcPr>
          <w:p>
            <w:pPr>
              <w:spacing w:after="0"/>
            </w:pPr>
            <w:r/>
            <w:r>
              <w:rPr>
                <w:b w:val="0"/>
                <w:sz w:val="18"/>
              </w:rPr>
              <w:t>Service Desk 31481 (P1), 31521</w:t>
            </w:r>
          </w:p>
        </w:tc>
        <w:tc>
          <w:tcPr>
            <w:tcW w:type="dxa" w:w="2304"/>
          </w:tcPr>
          <w:p>
            <w:pPr>
              <w:spacing w:after="0"/>
            </w:pPr>
            <w:r/>
            <w:r>
              <w:rPr>
                <w:b w:val="0"/>
                <w:sz w:val="18"/>
              </w:rPr>
              <w:t>8.3 FR-GVC-012, FR-GVC-015; 8.12 FR-GVC-062</w:t>
            </w:r>
          </w:p>
        </w:tc>
      </w:tr>
      <w:tr>
        <w:tc>
          <w:tcPr>
            <w:tcW w:type="dxa" w:w="576"/>
          </w:tcPr>
          <w:p>
            <w:pPr>
              <w:spacing w:after="0"/>
            </w:pPr>
            <w:r/>
            <w:r>
              <w:rPr>
                <w:b w:val="0"/>
                <w:sz w:val="18"/>
              </w:rPr>
              <w:t>8</w:t>
            </w:r>
          </w:p>
        </w:tc>
        <w:tc>
          <w:tcPr>
            <w:tcW w:type="dxa" w:w="1872"/>
          </w:tcPr>
          <w:p>
            <w:pPr>
              <w:spacing w:after="0"/>
            </w:pPr>
            <w:r/>
            <w:r>
              <w:rPr>
                <w:b w:val="0"/>
                <w:sz w:val="18"/>
              </w:rPr>
              <w:t>Cannot correct CVC rates in Citizen login</w:t>
            </w:r>
          </w:p>
        </w:tc>
        <w:tc>
          <w:tcPr>
            <w:tcW w:type="dxa" w:w="2880"/>
          </w:tcPr>
          <w:p>
            <w:pPr>
              <w:spacing w:after="0"/>
            </w:pPr>
            <w:r/>
            <w:r>
              <w:rPr>
                <w:b w:val="0"/>
                <w:sz w:val="18"/>
              </w:rPr>
              <w:t>"Correction Rate in CVC Citizen login"</w:t>
            </w:r>
          </w:p>
        </w:tc>
        <w:tc>
          <w:tcPr>
            <w:tcW w:type="dxa" w:w="1728"/>
          </w:tcPr>
          <w:p>
            <w:pPr>
              <w:spacing w:after="0"/>
            </w:pPr>
            <w:r/>
            <w:r>
              <w:rPr>
                <w:b w:val="0"/>
                <w:sz w:val="18"/>
              </w:rPr>
              <w:t>Service Desk 21795</w:t>
            </w:r>
          </w:p>
        </w:tc>
        <w:tc>
          <w:tcPr>
            <w:tcW w:type="dxa" w:w="2304"/>
          </w:tcPr>
          <w:p>
            <w:pPr>
              <w:spacing w:after="0"/>
            </w:pPr>
            <w:r/>
            <w:r>
              <w:rPr>
                <w:b w:val="0"/>
                <w:sz w:val="18"/>
              </w:rPr>
              <w:t>8.3 FR-GVC-013 (correction routed to CVC); BR-GVC-002</w:t>
            </w:r>
          </w:p>
        </w:tc>
      </w:tr>
      <w:tr>
        <w:tc>
          <w:tcPr>
            <w:tcW w:type="dxa" w:w="576"/>
          </w:tcPr>
          <w:p>
            <w:pPr>
              <w:spacing w:after="0"/>
            </w:pPr>
            <w:r/>
            <w:r>
              <w:rPr>
                <w:b w:val="0"/>
                <w:sz w:val="18"/>
              </w:rPr>
              <w:t>9</w:t>
            </w:r>
          </w:p>
        </w:tc>
        <w:tc>
          <w:tcPr>
            <w:tcW w:type="dxa" w:w="1872"/>
          </w:tcPr>
          <w:p>
            <w:pPr>
              <w:spacing w:after="0"/>
            </w:pPr>
            <w:r/>
            <w:r>
              <w:rPr>
                <w:b w:val="0"/>
                <w:sz w:val="18"/>
              </w:rPr>
              <w:t>Generic CVC module failures</w:t>
            </w:r>
          </w:p>
        </w:tc>
        <w:tc>
          <w:tcPr>
            <w:tcW w:type="dxa" w:w="2880"/>
          </w:tcPr>
          <w:p>
            <w:pPr>
              <w:spacing w:after="0"/>
            </w:pPr>
            <w:r/>
            <w:r>
              <w:rPr>
                <w:b w:val="0"/>
                <w:sz w:val="18"/>
              </w:rPr>
              <w:t>"CVC issue"; payment issue after CVC valuation</w:t>
            </w:r>
          </w:p>
        </w:tc>
        <w:tc>
          <w:tcPr>
            <w:tcW w:type="dxa" w:w="1728"/>
          </w:tcPr>
          <w:p>
            <w:pPr>
              <w:spacing w:after="0"/>
            </w:pPr>
            <w:r/>
            <w:r>
              <w:rPr>
                <w:b w:val="0"/>
                <w:sz w:val="18"/>
              </w:rPr>
              <w:t>Service Desk 15278, 31574 (P1)</w:t>
            </w:r>
          </w:p>
        </w:tc>
        <w:tc>
          <w:tcPr>
            <w:tcW w:type="dxa" w:w="2304"/>
          </w:tcPr>
          <w:p>
            <w:pPr>
              <w:spacing w:after="0"/>
            </w:pPr>
            <w:r/>
            <w:r>
              <w:rPr>
                <w:b w:val="0"/>
                <w:sz w:val="18"/>
              </w:rPr>
              <w:t>8.5 FR-GVC-033; 9.3 NFR-GVC-AVA-001; FB-GVC-004</w:t>
            </w:r>
          </w:p>
        </w:tc>
      </w:tr>
      <w:tr>
        <w:tc>
          <w:tcPr>
            <w:tcW w:type="dxa" w:w="576"/>
          </w:tcPr>
          <w:p>
            <w:pPr>
              <w:spacing w:after="0"/>
            </w:pPr>
            <w:r/>
            <w:r>
              <w:rPr>
                <w:b w:val="0"/>
                <w:sz w:val="18"/>
              </w:rPr>
              <w:t>10</w:t>
            </w:r>
          </w:p>
        </w:tc>
        <w:tc>
          <w:tcPr>
            <w:tcW w:type="dxa" w:w="1872"/>
          </w:tcPr>
          <w:p>
            <w:pPr>
              <w:spacing w:after="0"/>
            </w:pPr>
            <w:r/>
            <w:r>
              <w:rPr>
                <w:b w:val="0"/>
                <w:sz w:val="18"/>
              </w:rPr>
              <w:t>Revaluation / send-back workflow broken</w:t>
            </w:r>
          </w:p>
        </w:tc>
        <w:tc>
          <w:tcPr>
            <w:tcW w:type="dxa" w:w="2880"/>
          </w:tcPr>
          <w:p>
            <w:pPr>
              <w:spacing w:after="0"/>
            </w:pPr>
            <w:r/>
            <w:r>
              <w:rPr>
                <w:b w:val="0"/>
                <w:sz w:val="18"/>
              </w:rPr>
              <w:t>Application moved for revaluation then stuck / needs withdrawal; after evaluation, SR cannot send the application further</w:t>
            </w:r>
          </w:p>
        </w:tc>
        <w:tc>
          <w:tcPr>
            <w:tcW w:type="dxa" w:w="1728"/>
          </w:tcPr>
          <w:p>
            <w:pPr>
              <w:spacing w:after="0"/>
            </w:pPr>
            <w:r/>
            <w:r>
              <w:rPr>
                <w:b w:val="0"/>
                <w:sz w:val="18"/>
              </w:rPr>
              <w:t>Service Desk 23267, 30960, 31484</w:t>
            </w:r>
          </w:p>
        </w:tc>
        <w:tc>
          <w:tcPr>
            <w:tcW w:type="dxa" w:w="2304"/>
          </w:tcPr>
          <w:p>
            <w:pPr>
              <w:spacing w:after="0"/>
            </w:pPr>
            <w:r/>
            <w:r>
              <w:rPr>
                <w:b w:val="0"/>
                <w:sz w:val="18"/>
              </w:rPr>
              <w:t>7.1 steps 13–15; 7.1.4 status model; 8.6 FR-GVC-042, FR-GVC-043</w:t>
            </w:r>
          </w:p>
        </w:tc>
      </w:tr>
      <w:tr>
        <w:tc>
          <w:tcPr>
            <w:tcW w:type="dxa" w:w="576"/>
          </w:tcPr>
          <w:p>
            <w:pPr>
              <w:spacing w:after="0"/>
            </w:pPr>
            <w:r/>
            <w:r>
              <w:rPr>
                <w:b w:val="0"/>
                <w:sz w:val="18"/>
              </w:rPr>
              <w:t>11</w:t>
            </w:r>
          </w:p>
        </w:tc>
        <w:tc>
          <w:tcPr>
            <w:tcW w:type="dxa" w:w="1872"/>
          </w:tcPr>
          <w:p>
            <w:pPr>
              <w:spacing w:after="0"/>
            </w:pPr>
            <w:r/>
            <w:r>
              <w:rPr>
                <w:b w:val="0"/>
                <w:sz w:val="18"/>
              </w:rPr>
              <w:t>Undervaluation (Sec. 45-A) data / payment stuck</w:t>
            </w:r>
          </w:p>
        </w:tc>
        <w:tc>
          <w:tcPr>
            <w:tcW w:type="dxa" w:w="2880"/>
          </w:tcPr>
          <w:p>
            <w:pPr>
              <w:spacing w:after="0"/>
            </w:pPr>
            <w:r/>
            <w:r>
              <w:rPr>
                <w:b w:val="0"/>
                <w:sz w:val="18"/>
              </w:rPr>
              <w:t>Undervaluation data fetch failure; unable to pay for undervaluation; pending Sec. 45-A cases in Kaveri-1</w:t>
            </w:r>
          </w:p>
        </w:tc>
        <w:tc>
          <w:tcPr>
            <w:tcW w:type="dxa" w:w="1728"/>
          </w:tcPr>
          <w:p>
            <w:pPr>
              <w:spacing w:after="0"/>
            </w:pPr>
            <w:r/>
            <w:r>
              <w:rPr>
                <w:b w:val="0"/>
                <w:sz w:val="18"/>
              </w:rPr>
              <w:t>Service Desk 25098, 31071, 27140</w:t>
            </w:r>
          </w:p>
        </w:tc>
        <w:tc>
          <w:tcPr>
            <w:tcW w:type="dxa" w:w="2304"/>
          </w:tcPr>
          <w:p>
            <w:pPr>
              <w:spacing w:after="0"/>
            </w:pPr>
            <w:r/>
            <w:r>
              <w:rPr>
                <w:b w:val="0"/>
                <w:sz w:val="18"/>
              </w:rPr>
              <w:t>7.2; 8.7–8.9 FR-UV-005, FR-UV-024, FR-UV-026; FB-GVC-005</w:t>
            </w:r>
          </w:p>
        </w:tc>
      </w:tr>
      <w:tr>
        <w:tc>
          <w:tcPr>
            <w:tcW w:type="dxa" w:w="576"/>
          </w:tcPr>
          <w:p>
            <w:pPr>
              <w:spacing w:after="0"/>
            </w:pPr>
            <w:r/>
            <w:r>
              <w:rPr>
                <w:b w:val="0"/>
                <w:sz w:val="18"/>
              </w:rPr>
              <w:t>12</w:t>
            </w:r>
          </w:p>
        </w:tc>
        <w:tc>
          <w:tcPr>
            <w:tcW w:type="dxa" w:w="1872"/>
          </w:tcPr>
          <w:p>
            <w:pPr>
              <w:spacing w:after="0"/>
            </w:pPr>
            <w:r/>
            <w:r>
              <w:rPr>
                <w:b w:val="0"/>
                <w:sz w:val="18"/>
              </w:rPr>
              <w:t>Master misalignment — village, road, survey</w:t>
            </w:r>
          </w:p>
        </w:tc>
        <w:tc>
          <w:tcPr>
            <w:tcW w:type="dxa" w:w="2880"/>
          </w:tcPr>
          <w:p>
            <w:pPr>
              <w:spacing w:after="0"/>
            </w:pPr>
            <w:r/>
            <w:r>
              <w:rPr>
                <w:b w:val="0"/>
                <w:sz w:val="18"/>
              </w:rPr>
              <w:t>Wrong road names, missing village splits and failed survey fetch lead to blank or wrong market value; no spatial check that the selected rate area matches the property</w:t>
            </w:r>
          </w:p>
        </w:tc>
        <w:tc>
          <w:tcPr>
            <w:tcW w:type="dxa" w:w="1728"/>
          </w:tcPr>
          <w:p>
            <w:pPr>
              <w:spacing w:after="0"/>
            </w:pPr>
            <w:r/>
            <w:r>
              <w:rPr>
                <w:b w:val="0"/>
                <w:sz w:val="18"/>
              </w:rPr>
              <w:t>Discussion 01-09-2026 (US-GIS-01 to US-GIS-03)</w:t>
            </w:r>
          </w:p>
        </w:tc>
        <w:tc>
          <w:tcPr>
            <w:tcW w:type="dxa" w:w="2304"/>
          </w:tcPr>
          <w:p>
            <w:pPr>
              <w:spacing w:after="0"/>
            </w:pPr>
            <w:r/>
            <w:r>
              <w:rPr>
                <w:b w:val="0"/>
                <w:sz w:val="18"/>
              </w:rPr>
              <w:t>7.1 steps 3–5; 8.2; 8.10 FR-GIS-020–024</w:t>
            </w:r>
          </w:p>
        </w:tc>
      </w:tr>
    </w:tbl>
    <w:p/>
    <w:p>
      <w:pPr>
        <w:pStyle w:val="Heading2"/>
      </w:pPr>
      <w:r>
        <w:t>7. Future state (To-Be)</w:t>
      </w:r>
    </w:p>
    <w:p>
      <w:pPr/>
      <w:r>
        <w:t>The To-Be model has two processes. Process A — Guideline Value Calculation with GIS Valuation — is used for every instrument that requires market value. Process B — Undervaluation Reference under Sec. 45-A — is invoked from Process A when the Sub-Registrar has reason to believe the market value is not truly set forth, or independently when the Deputy Commissioner acts suo motu. Guideline rates are always read from the Active CVC rate version published by the CVC Valuation Module.</w:t>
      </w:r>
    </w:p>
    <w:p>
      <w:pPr>
        <w:pStyle w:val="Heading3"/>
      </w:pPr>
      <w:r>
        <w:t>7.1 Process A — Guideline value calculation with GIS valuation</w:t>
      </w:r>
    </w:p>
    <w:p>
      <w:pPr>
        <w:pStyle w:val="Heading4"/>
      </w:pPr>
      <w:r>
        <w:t>7.1.1 Channel models</w:t>
      </w:r>
    </w:p>
    <w:p>
      <w:pPr/>
      <w:r>
        <w:t>Valuation can be performed by the citizen on the portal or by a DEO at the SRO on the party's behalf. In both channels the same valuation engine, GIS lookup and CVC rate version are used, and the Sub-Registrar verifies the result.</w:t>
      </w:r>
    </w:p>
    <w:tbl>
      <w:tblPr>
        <w:tblStyle w:val="TableGrid"/>
        <w:tblW w:type="auto" w:w="0"/>
        <w:tblLook w:firstColumn="1" w:firstRow="1" w:lastColumn="0" w:lastRow="0" w:noHBand="0" w:noVBand="1" w:val="04A0"/>
      </w:tblPr>
      <w:tblGrid>
        <w:gridCol w:w="2556"/>
        <w:gridCol w:w="2556"/>
        <w:gridCol w:w="2556"/>
        <w:gridCol w:w="2556"/>
      </w:tblGrid>
      <w:tr>
        <w:tc>
          <w:tcPr>
            <w:tcW w:type="dxa" w:w="2160"/>
            <w:shd w:val="clear" w:color="auto" w:fill="D9E2F3"/>
          </w:tcPr>
          <w:p>
            <w:pPr>
              <w:spacing w:after="0"/>
            </w:pPr>
            <w:r/>
            <w:r>
              <w:rPr>
                <w:b/>
                <w:sz w:val="18"/>
              </w:rPr>
              <w:t>Service type</w:t>
            </w:r>
          </w:p>
        </w:tc>
        <w:tc>
          <w:tcPr>
            <w:tcW w:type="dxa" w:w="3312"/>
            <w:shd w:val="clear" w:color="auto" w:fill="D9E2F3"/>
          </w:tcPr>
          <w:p>
            <w:pPr>
              <w:spacing w:after="0"/>
            </w:pPr>
            <w:r/>
            <w:r>
              <w:rPr>
                <w:b/>
                <w:sz w:val="18"/>
              </w:rPr>
              <w:t>Online activities</w:t>
            </w:r>
          </w:p>
        </w:tc>
        <w:tc>
          <w:tcPr>
            <w:tcW w:type="dxa" w:w="2880"/>
            <w:shd w:val="clear" w:color="auto" w:fill="D9E2F3"/>
          </w:tcPr>
          <w:p>
            <w:pPr>
              <w:spacing w:after="0"/>
            </w:pPr>
            <w:r/>
            <w:r>
              <w:rPr>
                <w:b/>
                <w:sz w:val="18"/>
              </w:rPr>
              <w:t>Office activities</w:t>
            </w:r>
          </w:p>
        </w:tc>
        <w:tc>
          <w:tcPr>
            <w:tcW w:type="dxa" w:w="1008"/>
            <w:shd w:val="clear" w:color="auto" w:fill="D9E2F3"/>
          </w:tcPr>
          <w:p>
            <w:pPr>
              <w:spacing w:after="0"/>
            </w:pPr>
            <w:r/>
            <w:r>
              <w:rPr>
                <w:b/>
                <w:sz w:val="18"/>
              </w:rPr>
              <w:t>Mode</w:t>
            </w:r>
          </w:p>
        </w:tc>
      </w:tr>
      <w:tr>
        <w:tc>
          <w:tcPr>
            <w:tcW w:type="dxa" w:w="2160"/>
          </w:tcPr>
          <w:p>
            <w:pPr>
              <w:spacing w:after="0"/>
            </w:pPr>
            <w:r/>
            <w:r>
              <w:rPr>
                <w:b w:val="0"/>
                <w:sz w:val="18"/>
              </w:rPr>
              <w:t>Citizen self-valuation</w:t>
            </w:r>
          </w:p>
        </w:tc>
        <w:tc>
          <w:tcPr>
            <w:tcW w:type="dxa" w:w="3312"/>
          </w:tcPr>
          <w:p>
            <w:pPr>
              <w:spacing w:after="0"/>
            </w:pPr>
            <w:r/>
            <w:r>
              <w:rPr>
                <w:b w:val="0"/>
                <w:sz w:val="18"/>
              </w:rPr>
              <w:t>Property identification, GIS parcel lookup, property features, consideration, valuation summary with map, duty and fee</w:t>
            </w:r>
          </w:p>
        </w:tc>
        <w:tc>
          <w:tcPr>
            <w:tcW w:type="dxa" w:w="2880"/>
          </w:tcPr>
          <w:p>
            <w:pPr>
              <w:spacing w:after="0"/>
            </w:pPr>
            <w:r/>
            <w:r>
              <w:rPr>
                <w:b w:val="0"/>
                <w:sz w:val="18"/>
              </w:rPr>
              <w:t>SR verification; Sec. 45-A reference where required</w:t>
            </w:r>
          </w:p>
        </w:tc>
        <w:tc>
          <w:tcPr>
            <w:tcW w:type="dxa" w:w="1008"/>
          </w:tcPr>
          <w:p>
            <w:pPr>
              <w:spacing w:after="0"/>
            </w:pPr>
            <w:r/>
            <w:r>
              <w:rPr>
                <w:b w:val="0"/>
                <w:sz w:val="18"/>
              </w:rPr>
              <w:t>Online</w:t>
            </w:r>
          </w:p>
        </w:tc>
      </w:tr>
      <w:tr>
        <w:tc>
          <w:tcPr>
            <w:tcW w:type="dxa" w:w="2160"/>
          </w:tcPr>
          <w:p>
            <w:pPr>
              <w:spacing w:after="0"/>
            </w:pPr>
            <w:r/>
            <w:r>
              <w:rPr>
                <w:b w:val="0"/>
                <w:sz w:val="18"/>
              </w:rPr>
              <w:t>DEO-assisted valuation</w:t>
            </w:r>
          </w:p>
        </w:tc>
        <w:tc>
          <w:tcPr>
            <w:tcW w:type="dxa" w:w="3312"/>
          </w:tcPr>
          <w:p>
            <w:pPr>
              <w:spacing w:after="0"/>
            </w:pPr>
            <w:r/>
            <w:r>
              <w:rPr>
                <w:b w:val="0"/>
                <w:sz w:val="18"/>
              </w:rPr>
              <w:t>—</w:t>
            </w:r>
          </w:p>
        </w:tc>
        <w:tc>
          <w:tcPr>
            <w:tcW w:type="dxa" w:w="2880"/>
          </w:tcPr>
          <w:p>
            <w:pPr>
              <w:spacing w:after="0"/>
            </w:pPr>
            <w:r/>
            <w:r>
              <w:rPr>
                <w:b w:val="0"/>
                <w:sz w:val="18"/>
              </w:rPr>
              <w:t>DEO enters property details on behalf of the party; same GIS lookup and valuation; SR verification</w:t>
            </w:r>
          </w:p>
        </w:tc>
        <w:tc>
          <w:tcPr>
            <w:tcW w:type="dxa" w:w="1008"/>
          </w:tcPr>
          <w:p>
            <w:pPr>
              <w:spacing w:after="0"/>
            </w:pPr>
            <w:r/>
            <w:r>
              <w:rPr>
                <w:b w:val="0"/>
                <w:sz w:val="18"/>
              </w:rPr>
              <w:t>Office (assisted)</w:t>
            </w:r>
          </w:p>
        </w:tc>
      </w:tr>
      <w:tr>
        <w:tc>
          <w:tcPr>
            <w:tcW w:type="dxa" w:w="2160"/>
          </w:tcPr>
          <w:p>
            <w:pPr>
              <w:spacing w:after="0"/>
            </w:pPr>
            <w:r/>
            <w:r>
              <w:rPr>
                <w:b w:val="0"/>
                <w:sz w:val="18"/>
              </w:rPr>
              <w:t>Public guideline value search</w:t>
            </w:r>
          </w:p>
        </w:tc>
        <w:tc>
          <w:tcPr>
            <w:tcW w:type="dxa" w:w="3312"/>
          </w:tcPr>
          <w:p>
            <w:pPr>
              <w:spacing w:after="0"/>
            </w:pPr>
            <w:r/>
            <w:r>
              <w:rPr>
                <w:b w:val="0"/>
                <w:sz w:val="18"/>
              </w:rPr>
              <w:t>View CVC rates and map for an area without starting an application</w:t>
            </w:r>
          </w:p>
        </w:tc>
        <w:tc>
          <w:tcPr>
            <w:tcW w:type="dxa" w:w="2880"/>
          </w:tcPr>
          <w:p>
            <w:pPr>
              <w:spacing w:after="0"/>
            </w:pPr>
            <w:r/>
            <w:r>
              <w:rPr>
                <w:b w:val="0"/>
                <w:sz w:val="18"/>
              </w:rPr>
              <w:t>—</w:t>
            </w:r>
          </w:p>
        </w:tc>
        <w:tc>
          <w:tcPr>
            <w:tcW w:type="dxa" w:w="1008"/>
          </w:tcPr>
          <w:p>
            <w:pPr>
              <w:spacing w:after="0"/>
            </w:pPr>
            <w:r/>
            <w:r>
              <w:rPr>
                <w:b w:val="0"/>
                <w:sz w:val="18"/>
              </w:rPr>
              <w:t>Online (no login)</w:t>
            </w:r>
          </w:p>
        </w:tc>
      </w:tr>
    </w:tbl>
    <w:p/>
    <w:p>
      <w:pPr>
        <w:pStyle w:val="Heading4"/>
      </w:pPr>
      <w:r>
        <w:t>7.1.2 Process diagram</w:t>
      </w:r>
    </w:p>
    <w:p>
      <w:pPr>
        <w:jc w:val="center"/>
      </w:pPr>
      <w:r>
        <w:drawing>
          <wp:inline xmlns:a="http://schemas.openxmlformats.org/drawingml/2006/main" xmlns:pic="http://schemas.openxmlformats.org/drawingml/2006/picture">
            <wp:extent cx="4441572" cy="7680959"/>
            <wp:docPr id="1" name="Picture 1"/>
            <wp:cNvGraphicFramePr>
              <a:graphicFrameLocks noChangeAspect="1"/>
            </wp:cNvGraphicFramePr>
            <a:graphic>
              <a:graphicData uri="http://schemas.openxmlformats.org/drawingml/2006/picture">
                <pic:pic>
                  <pic:nvPicPr>
                    <pic:cNvPr id="0" name="Process_A_Guideline_Value_Calculation.png"/>
                    <pic:cNvPicPr/>
                  </pic:nvPicPr>
                  <pic:blipFill>
                    <a:blip r:embed="rId12"/>
                    <a:stretch>
                      <a:fillRect/>
                    </a:stretch>
                  </pic:blipFill>
                  <pic:spPr>
                    <a:xfrm>
                      <a:off x="0" y="0"/>
                      <a:ext cx="4441572" cy="7680959"/>
                    </a:xfrm>
                    <a:prstGeom prst="rect"/>
                  </pic:spPr>
                </pic:pic>
              </a:graphicData>
            </a:graphic>
          </wp:inline>
        </w:drawing>
      </w:r>
    </w:p>
    <w:p>
      <w:pPr>
        <w:pStyle w:val="Caption"/>
      </w:pPr>
      <w:r>
        <w:t>Figure 1: Process A — Guideline Value Calculation with GIS Valuation</w:t>
      </w:r>
    </w:p>
    <w:tbl>
      <w:tblPr>
        <w:tblStyle w:val="TableGrid"/>
        <w:tblW w:type="auto" w:w="0"/>
        <w:tblLook w:firstColumn="1" w:firstRow="1" w:lastColumn="0" w:lastRow="0" w:noHBand="0" w:noVBand="1" w:val="04A0"/>
      </w:tblPr>
      <w:tblGrid>
        <w:gridCol w:w="2556"/>
        <w:gridCol w:w="2556"/>
        <w:gridCol w:w="2556"/>
        <w:gridCol w:w="2556"/>
      </w:tblGrid>
      <w:tr>
        <w:tc>
          <w:tcPr>
            <w:tcW w:type="dxa" w:w="576"/>
            <w:shd w:val="clear" w:color="auto" w:fill="D9E2F3"/>
          </w:tcPr>
          <w:p>
            <w:pPr>
              <w:spacing w:after="0"/>
            </w:pPr>
            <w:r/>
            <w:r>
              <w:rPr>
                <w:b/>
                <w:sz w:val="18"/>
              </w:rPr>
              <w:t>#</w:t>
            </w:r>
          </w:p>
        </w:tc>
        <w:tc>
          <w:tcPr>
            <w:tcW w:type="dxa" w:w="3744"/>
            <w:shd w:val="clear" w:color="auto" w:fill="D9E2F3"/>
          </w:tcPr>
          <w:p>
            <w:pPr>
              <w:spacing w:after="0"/>
            </w:pPr>
            <w:r/>
            <w:r>
              <w:rPr>
                <w:b/>
                <w:sz w:val="18"/>
              </w:rPr>
              <w:t>Step</w:t>
            </w:r>
          </w:p>
        </w:tc>
        <w:tc>
          <w:tcPr>
            <w:tcW w:type="dxa" w:w="1584"/>
            <w:shd w:val="clear" w:color="auto" w:fill="D9E2F3"/>
          </w:tcPr>
          <w:p>
            <w:pPr>
              <w:spacing w:after="0"/>
            </w:pPr>
            <w:r/>
            <w:r>
              <w:rPr>
                <w:b/>
                <w:sz w:val="18"/>
              </w:rPr>
              <w:t>Lane</w:t>
            </w:r>
          </w:p>
        </w:tc>
        <w:tc>
          <w:tcPr>
            <w:tcW w:type="dxa" w:w="3456"/>
            <w:shd w:val="clear" w:color="auto" w:fill="D9E2F3"/>
          </w:tcPr>
          <w:p>
            <w:pPr>
              <w:spacing w:after="0"/>
            </w:pPr>
            <w:r/>
            <w:r>
              <w:rPr>
                <w:b/>
                <w:sz w:val="18"/>
              </w:rPr>
              <w:t>Notes</w:t>
            </w:r>
          </w:p>
        </w:tc>
      </w:tr>
      <w:tr>
        <w:tc>
          <w:tcPr>
            <w:tcW w:type="dxa" w:w="576"/>
          </w:tcPr>
          <w:p>
            <w:pPr>
              <w:spacing w:after="0"/>
            </w:pPr>
            <w:r/>
            <w:r>
              <w:rPr>
                <w:b w:val="0"/>
                <w:sz w:val="18"/>
              </w:rPr>
              <w:t>1</w:t>
            </w:r>
          </w:p>
        </w:tc>
        <w:tc>
          <w:tcPr>
            <w:tcW w:type="dxa" w:w="3744"/>
          </w:tcPr>
          <w:p>
            <w:pPr>
              <w:spacing w:after="0"/>
            </w:pPr>
            <w:r/>
            <w:r>
              <w:rPr>
                <w:b w:val="0"/>
                <w:sz w:val="18"/>
              </w:rPr>
              <w:t>Select district, taluk, hobli / town and ward / village for the property</w:t>
            </w:r>
          </w:p>
        </w:tc>
        <w:tc>
          <w:tcPr>
            <w:tcW w:type="dxa" w:w="1584"/>
          </w:tcPr>
          <w:p>
            <w:pPr>
              <w:spacing w:after="0"/>
            </w:pPr>
            <w:r/>
            <w:r>
              <w:rPr>
                <w:b w:val="0"/>
                <w:sz w:val="18"/>
              </w:rPr>
              <w:t>Citizen / DEO</w:t>
            </w:r>
          </w:p>
        </w:tc>
        <w:tc>
          <w:tcPr>
            <w:tcW w:type="dxa" w:w="3456"/>
          </w:tcPr>
          <w:p>
            <w:pPr>
              <w:spacing w:after="0"/>
            </w:pPr>
            <w:r/>
            <w:r>
              <w:rPr>
                <w:b w:val="0"/>
                <w:sz w:val="18"/>
              </w:rPr>
              <w:t>Registration Rule 13 territorial divisions; cascading active masters</w:t>
            </w:r>
          </w:p>
        </w:tc>
      </w:tr>
      <w:tr>
        <w:tc>
          <w:tcPr>
            <w:tcW w:type="dxa" w:w="576"/>
          </w:tcPr>
          <w:p>
            <w:pPr>
              <w:spacing w:after="0"/>
            </w:pPr>
            <w:r/>
            <w:r>
              <w:rPr>
                <w:b w:val="0"/>
                <w:sz w:val="18"/>
              </w:rPr>
              <w:t>2</w:t>
            </w:r>
          </w:p>
        </w:tc>
        <w:tc>
          <w:tcPr>
            <w:tcW w:type="dxa" w:w="3744"/>
          </w:tcPr>
          <w:p>
            <w:pPr>
              <w:spacing w:after="0"/>
            </w:pPr>
            <w:r/>
            <w:r>
              <w:rPr>
                <w:b w:val="0"/>
                <w:sz w:val="18"/>
              </w:rPr>
              <w:t>Enter survey number + Pot Hissa / city survey, or khata / UPIN / ULPIN, or pick the property on the map</w:t>
            </w:r>
          </w:p>
        </w:tc>
        <w:tc>
          <w:tcPr>
            <w:tcW w:type="dxa" w:w="1584"/>
          </w:tcPr>
          <w:p>
            <w:pPr>
              <w:spacing w:after="0"/>
            </w:pPr>
            <w:r/>
            <w:r>
              <w:rPr>
                <w:b w:val="0"/>
                <w:sz w:val="18"/>
              </w:rPr>
              <w:t>Citizen / DEO</w:t>
            </w:r>
          </w:p>
        </w:tc>
        <w:tc>
          <w:tcPr>
            <w:tcW w:type="dxa" w:w="3456"/>
          </w:tcPr>
          <w:p>
            <w:pPr>
              <w:spacing w:after="0"/>
            </w:pPr>
            <w:r/>
            <w:r>
              <w:rPr>
                <w:b w:val="0"/>
                <w:sz w:val="18"/>
              </w:rPr>
              <w:t>Registration Rule 15 property description</w:t>
            </w:r>
          </w:p>
        </w:tc>
      </w:tr>
      <w:tr>
        <w:tc>
          <w:tcPr>
            <w:tcW w:type="dxa" w:w="576"/>
          </w:tcPr>
          <w:p>
            <w:pPr>
              <w:spacing w:after="0"/>
            </w:pPr>
            <w:r/>
            <w:r>
              <w:rPr>
                <w:b w:val="0"/>
                <w:sz w:val="18"/>
              </w:rPr>
              <w:t>3</w:t>
            </w:r>
          </w:p>
        </w:tc>
        <w:tc>
          <w:tcPr>
            <w:tcW w:type="dxa" w:w="3744"/>
          </w:tcPr>
          <w:p>
            <w:pPr>
              <w:spacing w:after="0"/>
            </w:pPr>
            <w:r/>
            <w:r>
              <w:rPr>
                <w:b w:val="0"/>
                <w:sz w:val="18"/>
              </w:rPr>
              <w:t>Find the parcel; return boundary (polygon), centre point and nearest road</w:t>
            </w:r>
          </w:p>
        </w:tc>
        <w:tc>
          <w:tcPr>
            <w:tcW w:type="dxa" w:w="1584"/>
          </w:tcPr>
          <w:p>
            <w:pPr>
              <w:spacing w:after="0"/>
            </w:pPr>
            <w:r/>
            <w:r>
              <w:rPr>
                <w:b w:val="0"/>
                <w:sz w:val="18"/>
              </w:rPr>
              <w:t>KSRSAC GIS</w:t>
            </w:r>
          </w:p>
        </w:tc>
        <w:tc>
          <w:tcPr>
            <w:tcW w:type="dxa" w:w="3456"/>
          </w:tcPr>
          <w:p>
            <w:pPr>
              <w:spacing w:after="0"/>
            </w:pPr>
            <w:r/>
            <w:r>
              <w:rPr>
                <w:b w:val="0"/>
                <w:sz w:val="18"/>
              </w:rPr>
              <w:t>Spatial lookup service</w:t>
            </w:r>
          </w:p>
        </w:tc>
      </w:tr>
      <w:tr>
        <w:tc>
          <w:tcPr>
            <w:tcW w:type="dxa" w:w="576"/>
          </w:tcPr>
          <w:p>
            <w:pPr>
              <w:spacing w:after="0"/>
            </w:pPr>
            <w:r/>
            <w:r>
              <w:rPr>
                <w:b w:val="0"/>
                <w:sz w:val="18"/>
              </w:rPr>
              <w:t>4</w:t>
            </w:r>
          </w:p>
        </w:tc>
        <w:tc>
          <w:tcPr>
            <w:tcW w:type="dxa" w:w="3744"/>
          </w:tcPr>
          <w:p>
            <w:pPr>
              <w:spacing w:after="0"/>
            </w:pPr>
            <w:r/>
            <w:r>
              <w:rPr>
                <w:b w:val="0"/>
                <w:sz w:val="18"/>
              </w:rPr>
              <w:t>Decision: parcel found and inside the selected village?</w:t>
            </w:r>
          </w:p>
        </w:tc>
        <w:tc>
          <w:tcPr>
            <w:tcW w:type="dxa" w:w="1584"/>
          </w:tcPr>
          <w:p>
            <w:pPr>
              <w:spacing w:after="0"/>
            </w:pPr>
            <w:r/>
            <w:r>
              <w:rPr>
                <w:b w:val="0"/>
                <w:sz w:val="18"/>
              </w:rPr>
              <w:t>Kaveri System</w:t>
            </w:r>
          </w:p>
        </w:tc>
        <w:tc>
          <w:tcPr>
            <w:tcW w:type="dxa" w:w="3456"/>
          </w:tcPr>
          <w:p>
            <w:pPr>
              <w:spacing w:after="0"/>
            </w:pPr>
            <w:r/>
            <w:r>
              <w:rPr>
                <w:b w:val="0"/>
                <w:sz w:val="18"/>
              </w:rPr>
              <w:t>If No → correct the details, or choose the valuation area manually with a reason (flagged for SR)</w:t>
            </w:r>
          </w:p>
        </w:tc>
      </w:tr>
      <w:tr>
        <w:tc>
          <w:tcPr>
            <w:tcW w:type="dxa" w:w="576"/>
          </w:tcPr>
          <w:p>
            <w:pPr>
              <w:spacing w:after="0"/>
            </w:pPr>
            <w:r/>
            <w:r>
              <w:rPr>
                <w:b w:val="0"/>
                <w:sz w:val="18"/>
              </w:rPr>
              <w:t>5</w:t>
            </w:r>
          </w:p>
        </w:tc>
        <w:tc>
          <w:tcPr>
            <w:tcW w:type="dxa" w:w="3744"/>
          </w:tcPr>
          <w:p>
            <w:pPr>
              <w:spacing w:after="0"/>
            </w:pPr>
            <w:r/>
            <w:r>
              <w:rPr>
                <w:b w:val="0"/>
                <w:sz w:val="18"/>
              </w:rPr>
              <w:t>Match parcel to CVC valuation area, road and rural / urban zone (spatial match)</w:t>
            </w:r>
          </w:p>
        </w:tc>
        <w:tc>
          <w:tcPr>
            <w:tcW w:type="dxa" w:w="1584"/>
          </w:tcPr>
          <w:p>
            <w:pPr>
              <w:spacing w:after="0"/>
            </w:pPr>
            <w:r/>
            <w:r>
              <w:rPr>
                <w:b w:val="0"/>
                <w:sz w:val="18"/>
              </w:rPr>
              <w:t>Kaveri System</w:t>
            </w:r>
          </w:p>
        </w:tc>
        <w:tc>
          <w:tcPr>
            <w:tcW w:type="dxa" w:w="3456"/>
          </w:tcPr>
          <w:p>
            <w:pPr>
              <w:spacing w:after="0"/>
            </w:pPr>
            <w:r/>
            <w:r>
              <w:rPr>
                <w:b w:val="0"/>
                <w:sz w:val="18"/>
              </w:rPr>
              <w:t>GIS valuation layer; prevents neighbouring village / road / urban slab being applied</w:t>
            </w:r>
          </w:p>
        </w:tc>
      </w:tr>
      <w:tr>
        <w:tc>
          <w:tcPr>
            <w:tcW w:type="dxa" w:w="576"/>
          </w:tcPr>
          <w:p>
            <w:pPr>
              <w:spacing w:after="0"/>
            </w:pPr>
            <w:r/>
            <w:r>
              <w:rPr>
                <w:b w:val="0"/>
                <w:sz w:val="18"/>
              </w:rPr>
              <w:t>6</w:t>
            </w:r>
          </w:p>
        </w:tc>
        <w:tc>
          <w:tcPr>
            <w:tcW w:type="dxa" w:w="3744"/>
          </w:tcPr>
          <w:p>
            <w:pPr>
              <w:spacing w:after="0"/>
            </w:pPr>
            <w:r/>
            <w:r>
              <w:rPr>
                <w:b w:val="0"/>
                <w:sz w:val="18"/>
              </w:rPr>
              <w:t>Fetch the Active CVC guideline rate version for the date of execution</w:t>
            </w:r>
          </w:p>
        </w:tc>
        <w:tc>
          <w:tcPr>
            <w:tcW w:type="dxa" w:w="1584"/>
          </w:tcPr>
          <w:p>
            <w:pPr>
              <w:spacing w:after="0"/>
            </w:pPr>
            <w:r/>
            <w:r>
              <w:rPr>
                <w:b w:val="0"/>
                <w:sz w:val="18"/>
              </w:rPr>
              <w:t>Kaveri System</w:t>
            </w:r>
          </w:p>
        </w:tc>
        <w:tc>
          <w:tcPr>
            <w:tcW w:type="dxa" w:w="3456"/>
          </w:tcPr>
          <w:p>
            <w:pPr>
              <w:spacing w:after="0"/>
            </w:pPr>
            <w:r/>
            <w:r>
              <w:rPr>
                <w:b w:val="0"/>
                <w:sz w:val="18"/>
              </w:rPr>
              <w:t>Sec. 45-B, Sec. 2(mm); read-only from CVC Valuation Module</w:t>
            </w:r>
          </w:p>
        </w:tc>
      </w:tr>
      <w:tr>
        <w:tc>
          <w:tcPr>
            <w:tcW w:type="dxa" w:w="576"/>
          </w:tcPr>
          <w:p>
            <w:pPr>
              <w:spacing w:after="0"/>
            </w:pPr>
            <w:r/>
            <w:r>
              <w:rPr>
                <w:b w:val="0"/>
                <w:sz w:val="18"/>
              </w:rPr>
              <w:t>7</w:t>
            </w:r>
          </w:p>
        </w:tc>
        <w:tc>
          <w:tcPr>
            <w:tcW w:type="dxa" w:w="3744"/>
          </w:tcPr>
          <w:p>
            <w:pPr>
              <w:spacing w:after="0"/>
            </w:pPr>
            <w:r/>
            <w:r>
              <w:rPr>
                <w:b w:val="0"/>
                <w:sz w:val="18"/>
              </w:rPr>
              <w:t>Select property type and features (agricultural dry / wet / garden; non-agricultural residential / commercial / industrial; building)</w:t>
            </w:r>
          </w:p>
        </w:tc>
        <w:tc>
          <w:tcPr>
            <w:tcW w:type="dxa" w:w="1584"/>
          </w:tcPr>
          <w:p>
            <w:pPr>
              <w:spacing w:after="0"/>
            </w:pPr>
            <w:r/>
            <w:r>
              <w:rPr>
                <w:b w:val="0"/>
                <w:sz w:val="18"/>
              </w:rPr>
              <w:t>Citizen / DEO</w:t>
            </w:r>
          </w:p>
        </w:tc>
        <w:tc>
          <w:tcPr>
            <w:tcW w:type="dxa" w:w="3456"/>
          </w:tcPr>
          <w:p>
            <w:pPr>
              <w:spacing w:after="0"/>
            </w:pPr>
            <w:r/>
            <w:r>
              <w:rPr>
                <w:b w:val="0"/>
                <w:sz w:val="18"/>
              </w:rPr>
              <w:t>Drives the rate head; revaluation from SR returns here</w:t>
            </w:r>
          </w:p>
        </w:tc>
      </w:tr>
      <w:tr>
        <w:tc>
          <w:tcPr>
            <w:tcW w:type="dxa" w:w="576"/>
          </w:tcPr>
          <w:p>
            <w:pPr>
              <w:spacing w:after="0"/>
            </w:pPr>
            <w:r/>
            <w:r>
              <w:rPr>
                <w:b w:val="0"/>
                <w:sz w:val="18"/>
              </w:rPr>
              <w:t>8</w:t>
            </w:r>
          </w:p>
        </w:tc>
        <w:tc>
          <w:tcPr>
            <w:tcW w:type="dxa" w:w="3744"/>
          </w:tcPr>
          <w:p>
            <w:pPr>
              <w:spacing w:after="0"/>
            </w:pPr>
            <w:r/>
            <w:r>
              <w:rPr>
                <w:b w:val="0"/>
                <w:sz w:val="18"/>
              </w:rPr>
              <w:t>Calculate guideline value: extent (base unit) × rate + building / structure value</w:t>
            </w:r>
          </w:p>
        </w:tc>
        <w:tc>
          <w:tcPr>
            <w:tcW w:type="dxa" w:w="1584"/>
          </w:tcPr>
          <w:p>
            <w:pPr>
              <w:spacing w:after="0"/>
            </w:pPr>
            <w:r/>
            <w:r>
              <w:rPr>
                <w:b w:val="0"/>
                <w:sz w:val="18"/>
              </w:rPr>
              <w:t>Kaveri System</w:t>
            </w:r>
          </w:p>
        </w:tc>
        <w:tc>
          <w:tcPr>
            <w:tcW w:type="dxa" w:w="3456"/>
          </w:tcPr>
          <w:p>
            <w:pPr>
              <w:spacing w:after="0"/>
            </w:pPr>
            <w:r/>
            <w:r>
              <w:rPr>
                <w:b w:val="0"/>
                <w:sz w:val="18"/>
              </w:rPr>
              <w:t>Unit conversion; zone-specific building rate</w:t>
            </w:r>
          </w:p>
        </w:tc>
      </w:tr>
      <w:tr>
        <w:tc>
          <w:tcPr>
            <w:tcW w:type="dxa" w:w="576"/>
          </w:tcPr>
          <w:p>
            <w:pPr>
              <w:spacing w:after="0"/>
            </w:pPr>
            <w:r/>
            <w:r>
              <w:rPr>
                <w:b w:val="0"/>
                <w:sz w:val="18"/>
              </w:rPr>
              <w:t>9</w:t>
            </w:r>
          </w:p>
        </w:tc>
        <w:tc>
          <w:tcPr>
            <w:tcW w:type="dxa" w:w="3744"/>
          </w:tcPr>
          <w:p>
            <w:pPr>
              <w:spacing w:after="0"/>
            </w:pPr>
            <w:r/>
            <w:r>
              <w:rPr>
                <w:b w:val="0"/>
                <w:sz w:val="18"/>
              </w:rPr>
              <w:t>Enter the consideration / value set forth in the instrument</w:t>
            </w:r>
          </w:p>
        </w:tc>
        <w:tc>
          <w:tcPr>
            <w:tcW w:type="dxa" w:w="1584"/>
          </w:tcPr>
          <w:p>
            <w:pPr>
              <w:spacing w:after="0"/>
            </w:pPr>
            <w:r/>
            <w:r>
              <w:rPr>
                <w:b w:val="0"/>
                <w:sz w:val="18"/>
              </w:rPr>
              <w:t>Citizen / DEO</w:t>
            </w:r>
          </w:p>
        </w:tc>
        <w:tc>
          <w:tcPr>
            <w:tcW w:type="dxa" w:w="3456"/>
          </w:tcPr>
          <w:p>
            <w:pPr>
              <w:spacing w:after="0"/>
            </w:pPr>
            <w:r/>
            <w:r>
              <w:rPr>
                <w:b w:val="0"/>
                <w:sz w:val="18"/>
              </w:rPr>
              <w:t>Sec. 27</w:t>
            </w:r>
          </w:p>
        </w:tc>
      </w:tr>
      <w:tr>
        <w:tc>
          <w:tcPr>
            <w:tcW w:type="dxa" w:w="576"/>
          </w:tcPr>
          <w:p>
            <w:pPr>
              <w:spacing w:after="0"/>
            </w:pPr>
            <w:r/>
            <w:r>
              <w:rPr>
                <w:b w:val="0"/>
                <w:sz w:val="18"/>
              </w:rPr>
              <w:t>10</w:t>
            </w:r>
          </w:p>
        </w:tc>
        <w:tc>
          <w:tcPr>
            <w:tcW w:type="dxa" w:w="3744"/>
          </w:tcPr>
          <w:p>
            <w:pPr>
              <w:spacing w:after="0"/>
            </w:pPr>
            <w:r/>
            <w:r>
              <w:rPr>
                <w:b w:val="0"/>
                <w:sz w:val="18"/>
              </w:rPr>
              <w:t>Market value = higher of guideline value and consideration</w:t>
            </w:r>
          </w:p>
        </w:tc>
        <w:tc>
          <w:tcPr>
            <w:tcW w:type="dxa" w:w="1584"/>
          </w:tcPr>
          <w:p>
            <w:pPr>
              <w:spacing w:after="0"/>
            </w:pPr>
            <w:r/>
            <w:r>
              <w:rPr>
                <w:b w:val="0"/>
                <w:sz w:val="18"/>
              </w:rPr>
              <w:t>Kaveri System</w:t>
            </w:r>
          </w:p>
        </w:tc>
        <w:tc>
          <w:tcPr>
            <w:tcW w:type="dxa" w:w="3456"/>
          </w:tcPr>
          <w:p>
            <w:pPr>
              <w:spacing w:after="0"/>
            </w:pPr>
            <w:r/>
            <w:r>
              <w:rPr>
                <w:b w:val="0"/>
                <w:sz w:val="18"/>
              </w:rPr>
              <w:t>Sec. 2(mm), Sec. 3; Government proviso; adjudicated value overrides where present</w:t>
            </w:r>
          </w:p>
        </w:tc>
      </w:tr>
      <w:tr>
        <w:tc>
          <w:tcPr>
            <w:tcW w:type="dxa" w:w="576"/>
          </w:tcPr>
          <w:p>
            <w:pPr>
              <w:spacing w:after="0"/>
            </w:pPr>
            <w:r/>
            <w:r>
              <w:rPr>
                <w:b w:val="0"/>
                <w:sz w:val="18"/>
              </w:rPr>
              <w:t>11</w:t>
            </w:r>
          </w:p>
        </w:tc>
        <w:tc>
          <w:tcPr>
            <w:tcW w:type="dxa" w:w="3744"/>
          </w:tcPr>
          <w:p>
            <w:pPr>
              <w:spacing w:after="0"/>
            </w:pPr>
            <w:r/>
            <w:r>
              <w:rPr>
                <w:b w:val="0"/>
                <w:sz w:val="18"/>
              </w:rPr>
              <w:t>Calculate stamp duty and registration fee; show summary with GIS map snapshot</w:t>
            </w:r>
          </w:p>
        </w:tc>
        <w:tc>
          <w:tcPr>
            <w:tcW w:type="dxa" w:w="1584"/>
          </w:tcPr>
          <w:p>
            <w:pPr>
              <w:spacing w:after="0"/>
            </w:pPr>
            <w:r/>
            <w:r>
              <w:rPr>
                <w:b w:val="0"/>
                <w:sz w:val="18"/>
              </w:rPr>
              <w:t>Kaveri System</w:t>
            </w:r>
          </w:p>
        </w:tc>
        <w:tc>
          <w:tcPr>
            <w:tcW w:type="dxa" w:w="3456"/>
          </w:tcPr>
          <w:p>
            <w:pPr>
              <w:spacing w:after="0"/>
            </w:pPr>
            <w:r/>
            <w:r>
              <w:rPr>
                <w:b w:val="0"/>
                <w:sz w:val="18"/>
              </w:rPr>
              <w:t>Schedule article from the fee engine</w:t>
            </w:r>
          </w:p>
        </w:tc>
      </w:tr>
      <w:tr>
        <w:tc>
          <w:tcPr>
            <w:tcW w:type="dxa" w:w="576"/>
          </w:tcPr>
          <w:p>
            <w:pPr>
              <w:spacing w:after="0"/>
            </w:pPr>
            <w:r/>
            <w:r>
              <w:rPr>
                <w:b w:val="0"/>
                <w:sz w:val="18"/>
              </w:rPr>
              <w:t>12</w:t>
            </w:r>
          </w:p>
        </w:tc>
        <w:tc>
          <w:tcPr>
            <w:tcW w:type="dxa" w:w="3744"/>
          </w:tcPr>
          <w:p>
            <w:pPr>
              <w:spacing w:after="0"/>
            </w:pPr>
            <w:r/>
            <w:r>
              <w:rPr>
                <w:b w:val="0"/>
                <w:sz w:val="18"/>
              </w:rPr>
              <w:t>Review the valuation summary and submit the application</w:t>
            </w:r>
          </w:p>
        </w:tc>
        <w:tc>
          <w:tcPr>
            <w:tcW w:type="dxa" w:w="1584"/>
          </w:tcPr>
          <w:p>
            <w:pPr>
              <w:spacing w:after="0"/>
            </w:pPr>
            <w:r/>
            <w:r>
              <w:rPr>
                <w:b w:val="0"/>
                <w:sz w:val="18"/>
              </w:rPr>
              <w:t>Citizen / DEO</w:t>
            </w:r>
          </w:p>
        </w:tc>
        <w:tc>
          <w:tcPr>
            <w:tcW w:type="dxa" w:w="3456"/>
          </w:tcPr>
          <w:p>
            <w:pPr>
              <w:spacing w:after="0"/>
            </w:pPr>
            <w:r/>
            <w:r>
              <w:rPr>
                <w:b w:val="0"/>
                <w:sz w:val="18"/>
              </w:rPr>
              <w:t>Summary is the evidence pack for SR</w:t>
            </w:r>
          </w:p>
        </w:tc>
      </w:tr>
      <w:tr>
        <w:tc>
          <w:tcPr>
            <w:tcW w:type="dxa" w:w="576"/>
          </w:tcPr>
          <w:p>
            <w:pPr>
              <w:spacing w:after="0"/>
            </w:pPr>
            <w:r/>
            <w:r>
              <w:rPr>
                <w:b w:val="0"/>
                <w:sz w:val="18"/>
              </w:rPr>
              <w:t>13</w:t>
            </w:r>
          </w:p>
        </w:tc>
        <w:tc>
          <w:tcPr>
            <w:tcW w:type="dxa" w:w="3744"/>
          </w:tcPr>
          <w:p>
            <w:pPr>
              <w:spacing w:after="0"/>
            </w:pPr>
            <w:r/>
            <w:r>
              <w:rPr>
                <w:b w:val="0"/>
                <w:sz w:val="18"/>
              </w:rPr>
              <w:t>Decision: valuation details correct?</w:t>
            </w:r>
          </w:p>
        </w:tc>
        <w:tc>
          <w:tcPr>
            <w:tcW w:type="dxa" w:w="1584"/>
          </w:tcPr>
          <w:p>
            <w:pPr>
              <w:spacing w:after="0"/>
            </w:pPr>
            <w:r/>
            <w:r>
              <w:rPr>
                <w:b w:val="0"/>
                <w:sz w:val="18"/>
              </w:rPr>
              <w:t>Sub-Registrar</w:t>
            </w:r>
          </w:p>
        </w:tc>
        <w:tc>
          <w:tcPr>
            <w:tcW w:type="dxa" w:w="3456"/>
          </w:tcPr>
          <w:p>
            <w:pPr>
              <w:spacing w:after="0"/>
            </w:pPr>
            <w:r/>
            <w:r>
              <w:rPr>
                <w:b w:val="0"/>
                <w:sz w:val="18"/>
              </w:rPr>
              <w:t>If No → send back for revaluation with remarks (returns to step 7)</w:t>
            </w:r>
          </w:p>
        </w:tc>
      </w:tr>
      <w:tr>
        <w:tc>
          <w:tcPr>
            <w:tcW w:type="dxa" w:w="576"/>
          </w:tcPr>
          <w:p>
            <w:pPr>
              <w:spacing w:after="0"/>
            </w:pPr>
            <w:r/>
            <w:r>
              <w:rPr>
                <w:b w:val="0"/>
                <w:sz w:val="18"/>
              </w:rPr>
              <w:t>14</w:t>
            </w:r>
          </w:p>
        </w:tc>
        <w:tc>
          <w:tcPr>
            <w:tcW w:type="dxa" w:w="3744"/>
          </w:tcPr>
          <w:p>
            <w:pPr>
              <w:spacing w:after="0"/>
            </w:pPr>
            <w:r/>
            <w:r>
              <w:rPr>
                <w:b w:val="0"/>
                <w:sz w:val="18"/>
              </w:rPr>
              <w:t>Decision: reason to believe market value not truly set forth?</w:t>
            </w:r>
          </w:p>
        </w:tc>
        <w:tc>
          <w:tcPr>
            <w:tcW w:type="dxa" w:w="1584"/>
          </w:tcPr>
          <w:p>
            <w:pPr>
              <w:spacing w:after="0"/>
            </w:pPr>
            <w:r/>
            <w:r>
              <w:rPr>
                <w:b w:val="0"/>
                <w:sz w:val="18"/>
              </w:rPr>
              <w:t>Sub-Registrar</w:t>
            </w:r>
          </w:p>
        </w:tc>
        <w:tc>
          <w:tcPr>
            <w:tcW w:type="dxa" w:w="3456"/>
          </w:tcPr>
          <w:p>
            <w:pPr>
              <w:spacing w:after="0"/>
            </w:pPr>
            <w:r/>
            <w:r>
              <w:rPr>
                <w:b w:val="0"/>
                <w:sz w:val="18"/>
              </w:rPr>
              <w:t>If Yes → go to Process B (Sec. 45-A undervaluation)</w:t>
            </w:r>
          </w:p>
        </w:tc>
      </w:tr>
      <w:tr>
        <w:tc>
          <w:tcPr>
            <w:tcW w:type="dxa" w:w="576"/>
          </w:tcPr>
          <w:p>
            <w:pPr>
              <w:spacing w:after="0"/>
            </w:pPr>
            <w:r/>
            <w:r>
              <w:rPr>
                <w:b w:val="0"/>
                <w:sz w:val="18"/>
              </w:rPr>
              <w:t>15</w:t>
            </w:r>
          </w:p>
        </w:tc>
        <w:tc>
          <w:tcPr>
            <w:tcW w:type="dxa" w:w="3744"/>
          </w:tcPr>
          <w:p>
            <w:pPr>
              <w:spacing w:after="0"/>
            </w:pPr>
            <w:r/>
            <w:r>
              <w:rPr>
                <w:b w:val="0"/>
                <w:sz w:val="18"/>
              </w:rPr>
              <w:t>Accept valuation; continue to payment and registration</w:t>
            </w:r>
          </w:p>
        </w:tc>
        <w:tc>
          <w:tcPr>
            <w:tcW w:type="dxa" w:w="1584"/>
          </w:tcPr>
          <w:p>
            <w:pPr>
              <w:spacing w:after="0"/>
            </w:pPr>
            <w:r/>
            <w:r>
              <w:rPr>
                <w:b w:val="0"/>
                <w:sz w:val="18"/>
              </w:rPr>
              <w:t>Sub-Registrar</w:t>
            </w:r>
          </w:p>
        </w:tc>
        <w:tc>
          <w:tcPr>
            <w:tcW w:type="dxa" w:w="3456"/>
          </w:tcPr>
          <w:p>
            <w:pPr>
              <w:spacing w:after="0"/>
            </w:pPr>
            <w:r/>
            <w:r>
              <w:rPr>
                <w:b w:val="0"/>
                <w:sz w:val="18"/>
              </w:rPr>
              <w:t>End of Process A</w:t>
            </w:r>
          </w:p>
        </w:tc>
      </w:tr>
    </w:tbl>
    <w:p/>
    <w:p>
      <w:pPr/>
      <w:r>
        <w:t>Key characteristics: territorial and survey-based identification; KSRSAC parcel lookup with boundary check; manual valuation-area fallback only with reason and SR flag; spatial match to CVC area, road and rural / urban zone; Active CVC rate version by execution date; itemised valuation; higher-of rule with Government proviso; duty and fee shown with GIS map snapshot before submission; SR accept / send back / refer.</w:t>
      </w:r>
    </w:p>
    <w:p>
      <w:pPr>
        <w:pStyle w:val="Heading4"/>
      </w:pPr>
      <w:r>
        <w:t>7.1.3 Valuation calculation logic</w:t>
      </w:r>
    </w:p>
    <w:tbl>
      <w:tblPr>
        <w:tblStyle w:val="TableGrid"/>
        <w:tblW w:type="auto" w:w="0"/>
        <w:tblLook w:firstColumn="1" w:firstRow="1" w:lastColumn="0" w:lastRow="0" w:noHBand="0" w:noVBand="1" w:val="04A0"/>
      </w:tblPr>
      <w:tblGrid>
        <w:gridCol w:w="3408"/>
        <w:gridCol w:w="3408"/>
        <w:gridCol w:w="3408"/>
      </w:tblGrid>
      <w:tr>
        <w:tc>
          <w:tcPr>
            <w:tcW w:type="dxa" w:w="2160"/>
            <w:shd w:val="clear" w:color="auto" w:fill="D9E2F3"/>
          </w:tcPr>
          <w:p>
            <w:pPr>
              <w:spacing w:after="0"/>
            </w:pPr>
            <w:r/>
            <w:r>
              <w:rPr>
                <w:b/>
                <w:sz w:val="18"/>
              </w:rPr>
              <w:t>Component</w:t>
            </w:r>
          </w:p>
        </w:tc>
        <w:tc>
          <w:tcPr>
            <w:tcW w:type="dxa" w:w="5328"/>
            <w:shd w:val="clear" w:color="auto" w:fill="D9E2F3"/>
          </w:tcPr>
          <w:p>
            <w:pPr>
              <w:spacing w:after="0"/>
            </w:pPr>
            <w:r/>
            <w:r>
              <w:rPr>
                <w:b/>
                <w:sz w:val="18"/>
              </w:rPr>
              <w:t>Rule</w:t>
            </w:r>
          </w:p>
        </w:tc>
        <w:tc>
          <w:tcPr>
            <w:tcW w:type="dxa" w:w="1872"/>
            <w:shd w:val="clear" w:color="auto" w:fill="D9E2F3"/>
          </w:tcPr>
          <w:p>
            <w:pPr>
              <w:spacing w:after="0"/>
            </w:pPr>
            <w:r/>
            <w:r>
              <w:rPr>
                <w:b/>
                <w:sz w:val="18"/>
              </w:rPr>
              <w:t>Reference</w:t>
            </w:r>
          </w:p>
        </w:tc>
      </w:tr>
      <w:tr>
        <w:tc>
          <w:tcPr>
            <w:tcW w:type="dxa" w:w="2160"/>
          </w:tcPr>
          <w:p>
            <w:pPr>
              <w:spacing w:after="0"/>
            </w:pPr>
            <w:r/>
            <w:r>
              <w:rPr>
                <w:b w:val="0"/>
                <w:sz w:val="18"/>
              </w:rPr>
              <w:t>Extent normalisation</w:t>
            </w:r>
          </w:p>
        </w:tc>
        <w:tc>
          <w:tcPr>
            <w:tcW w:type="dxa" w:w="5328"/>
          </w:tcPr>
          <w:p>
            <w:pPr>
              <w:spacing w:after="0"/>
            </w:pPr>
            <w:r/>
            <w:r>
              <w:rPr>
                <w:b w:val="0"/>
                <w:sz w:val="18"/>
              </w:rPr>
              <w:t>All extents converted to the CVC notified base unit (sq.m / acre) through a conversion master — acre, gunta, ana, cent, hectare, sq.ft, sq.m; small extents (e.g. 1 gunta) supported without rounding to zero</w:t>
            </w:r>
          </w:p>
        </w:tc>
        <w:tc>
          <w:tcPr>
            <w:tcW w:type="dxa" w:w="1872"/>
          </w:tcPr>
          <w:p>
            <w:pPr>
              <w:spacing w:after="0"/>
            </w:pPr>
            <w:r/>
            <w:r>
              <w:rPr>
                <w:b w:val="0"/>
                <w:sz w:val="18"/>
              </w:rPr>
              <w:t>FR-GVC-004, FR-GVC-020</w:t>
            </w:r>
          </w:p>
        </w:tc>
      </w:tr>
      <w:tr>
        <w:tc>
          <w:tcPr>
            <w:tcW w:type="dxa" w:w="2160"/>
          </w:tcPr>
          <w:p>
            <w:pPr>
              <w:spacing w:after="0"/>
            </w:pPr>
            <w:r/>
            <w:r>
              <w:rPr>
                <w:b w:val="0"/>
                <w:sz w:val="18"/>
              </w:rPr>
              <w:t>Land value</w:t>
            </w:r>
          </w:p>
        </w:tc>
        <w:tc>
          <w:tcPr>
            <w:tcW w:type="dxa" w:w="5328"/>
          </w:tcPr>
          <w:p>
            <w:pPr>
              <w:spacing w:after="0"/>
            </w:pPr>
            <w:r/>
            <w:r>
              <w:rPr>
                <w:b w:val="0"/>
                <w:sz w:val="18"/>
              </w:rPr>
              <w:t>Normalised extent × CVC land rate for the matched valuation area and property type</w:t>
            </w:r>
          </w:p>
        </w:tc>
        <w:tc>
          <w:tcPr>
            <w:tcW w:type="dxa" w:w="1872"/>
          </w:tcPr>
          <w:p>
            <w:pPr>
              <w:spacing w:after="0"/>
            </w:pPr>
            <w:r/>
            <w:r>
              <w:rPr>
                <w:b w:val="0"/>
                <w:sz w:val="18"/>
              </w:rPr>
              <w:t>Sec. 45-B rates; FR-GVC-020</w:t>
            </w:r>
          </w:p>
        </w:tc>
      </w:tr>
      <w:tr>
        <w:tc>
          <w:tcPr>
            <w:tcW w:type="dxa" w:w="2160"/>
          </w:tcPr>
          <w:p>
            <w:pPr>
              <w:spacing w:after="0"/>
            </w:pPr>
            <w:r/>
            <w:r>
              <w:rPr>
                <w:b w:val="0"/>
                <w:sz w:val="18"/>
              </w:rPr>
              <w:t>Building / structure value</w:t>
            </w:r>
          </w:p>
        </w:tc>
        <w:tc>
          <w:tcPr>
            <w:tcW w:type="dxa" w:w="5328"/>
          </w:tcPr>
          <w:p>
            <w:pPr>
              <w:spacing w:after="0"/>
            </w:pPr>
            <w:r/>
            <w:r>
              <w:rPr>
                <w:b w:val="0"/>
                <w:sz w:val="18"/>
              </w:rPr>
              <w:t>Built-up area × CVC building rate for the zone category (rural / TMC / CMC / Corporation) and construction type, as per CVC methodology</w:t>
            </w:r>
          </w:p>
        </w:tc>
        <w:tc>
          <w:tcPr>
            <w:tcW w:type="dxa" w:w="1872"/>
          </w:tcPr>
          <w:p>
            <w:pPr>
              <w:spacing w:after="0"/>
            </w:pPr>
            <w:r/>
            <w:r>
              <w:rPr>
                <w:b w:val="0"/>
                <w:sz w:val="18"/>
              </w:rPr>
              <w:t>FR-GVC-021</w:t>
            </w:r>
          </w:p>
        </w:tc>
      </w:tr>
      <w:tr>
        <w:tc>
          <w:tcPr>
            <w:tcW w:type="dxa" w:w="2160"/>
          </w:tcPr>
          <w:p>
            <w:pPr>
              <w:spacing w:after="0"/>
            </w:pPr>
            <w:r/>
            <w:r>
              <w:rPr>
                <w:b w:val="0"/>
                <w:sz w:val="18"/>
              </w:rPr>
              <w:t>Apartment / flat</w:t>
            </w:r>
          </w:p>
        </w:tc>
        <w:tc>
          <w:tcPr>
            <w:tcW w:type="dxa" w:w="5328"/>
          </w:tcPr>
          <w:p>
            <w:pPr>
              <w:spacing w:after="0"/>
            </w:pPr>
            <w:r/>
            <w:r>
              <w:rPr>
                <w:b w:val="0"/>
                <w:sz w:val="18"/>
              </w:rPr>
              <w:t>Undivided share of land and built-up area valued per the CVC apartment methodology</w:t>
            </w:r>
          </w:p>
        </w:tc>
        <w:tc>
          <w:tcPr>
            <w:tcW w:type="dxa" w:w="1872"/>
          </w:tcPr>
          <w:p>
            <w:pPr>
              <w:spacing w:after="0"/>
            </w:pPr>
            <w:r/>
            <w:r>
              <w:rPr>
                <w:b w:val="0"/>
                <w:sz w:val="18"/>
              </w:rPr>
              <w:t>FR-GVC-022</w:t>
            </w:r>
          </w:p>
        </w:tc>
      </w:tr>
      <w:tr>
        <w:tc>
          <w:tcPr>
            <w:tcW w:type="dxa" w:w="2160"/>
          </w:tcPr>
          <w:p>
            <w:pPr>
              <w:spacing w:after="0"/>
            </w:pPr>
            <w:r/>
            <w:r>
              <w:rPr>
                <w:b w:val="0"/>
                <w:sz w:val="18"/>
              </w:rPr>
              <w:t>Additions / deductions</w:t>
            </w:r>
          </w:p>
        </w:tc>
        <w:tc>
          <w:tcPr>
            <w:tcW w:type="dxa" w:w="5328"/>
          </w:tcPr>
          <w:p>
            <w:pPr>
              <w:spacing w:after="0"/>
            </w:pPr>
            <w:r/>
            <w:r>
              <w:rPr>
                <w:b w:val="0"/>
                <w:sz w:val="18"/>
              </w:rPr>
              <w:t>Only those notified in the Active rate version (e.g. corner site, main-road frontage)</w:t>
            </w:r>
          </w:p>
        </w:tc>
        <w:tc>
          <w:tcPr>
            <w:tcW w:type="dxa" w:w="1872"/>
          </w:tcPr>
          <w:p>
            <w:pPr>
              <w:spacing w:after="0"/>
            </w:pPr>
            <w:r/>
            <w:r>
              <w:rPr>
                <w:b w:val="0"/>
                <w:sz w:val="18"/>
              </w:rPr>
              <w:t>FR-GVC-023</w:t>
            </w:r>
          </w:p>
        </w:tc>
      </w:tr>
      <w:tr>
        <w:tc>
          <w:tcPr>
            <w:tcW w:type="dxa" w:w="2160"/>
          </w:tcPr>
          <w:p>
            <w:pPr>
              <w:spacing w:after="0"/>
            </w:pPr>
            <w:r/>
            <w:r>
              <w:rPr>
                <w:b w:val="0"/>
                <w:sz w:val="18"/>
              </w:rPr>
              <w:t>Guideline value</w:t>
            </w:r>
          </w:p>
        </w:tc>
        <w:tc>
          <w:tcPr>
            <w:tcW w:type="dxa" w:w="5328"/>
          </w:tcPr>
          <w:p>
            <w:pPr>
              <w:spacing w:after="0"/>
            </w:pPr>
            <w:r/>
            <w:r>
              <w:rPr>
                <w:b w:val="0"/>
                <w:sz w:val="18"/>
              </w:rPr>
              <w:t>Sum of the components above, rounded per department rule [rounding rule TBD]</w:t>
            </w:r>
          </w:p>
        </w:tc>
        <w:tc>
          <w:tcPr>
            <w:tcW w:type="dxa" w:w="1872"/>
          </w:tcPr>
          <w:p>
            <w:pPr>
              <w:spacing w:after="0"/>
            </w:pPr>
            <w:r/>
            <w:r>
              <w:rPr>
                <w:b w:val="0"/>
                <w:sz w:val="18"/>
              </w:rPr>
              <w:t>FR-GVC-024, FR-GVC-025</w:t>
            </w:r>
          </w:p>
        </w:tc>
      </w:tr>
      <w:tr>
        <w:tc>
          <w:tcPr>
            <w:tcW w:type="dxa" w:w="2160"/>
          </w:tcPr>
          <w:p>
            <w:pPr>
              <w:spacing w:after="0"/>
            </w:pPr>
            <w:r/>
            <w:r>
              <w:rPr>
                <w:b w:val="0"/>
                <w:sz w:val="18"/>
              </w:rPr>
              <w:t>Market value</w:t>
            </w:r>
          </w:p>
        </w:tc>
        <w:tc>
          <w:tcPr>
            <w:tcW w:type="dxa" w:w="5328"/>
          </w:tcPr>
          <w:p>
            <w:pPr>
              <w:spacing w:after="0"/>
            </w:pPr>
            <w:r/>
            <w:r>
              <w:rPr>
                <w:b w:val="0"/>
                <w:sz w:val="18"/>
              </w:rPr>
              <w:t>max(guideline value, consideration); Government-party instruments: consideration; adjudicated Sec. 45-A value: overrides</w:t>
            </w:r>
          </w:p>
        </w:tc>
        <w:tc>
          <w:tcPr>
            <w:tcW w:type="dxa" w:w="1872"/>
          </w:tcPr>
          <w:p>
            <w:pPr>
              <w:spacing w:after="0"/>
            </w:pPr>
            <w:r/>
            <w:r>
              <w:rPr>
                <w:b w:val="0"/>
                <w:sz w:val="18"/>
              </w:rPr>
              <w:t>Sec. 2(mm); FR-GVC-031, 032, 035</w:t>
            </w:r>
          </w:p>
        </w:tc>
      </w:tr>
      <w:tr>
        <w:tc>
          <w:tcPr>
            <w:tcW w:type="dxa" w:w="2160"/>
          </w:tcPr>
          <w:p>
            <w:pPr>
              <w:spacing w:after="0"/>
            </w:pPr>
            <w:r/>
            <w:r>
              <w:rPr>
                <w:b w:val="0"/>
                <w:sz w:val="18"/>
              </w:rPr>
              <w:t>Duty and fee</w:t>
            </w:r>
          </w:p>
        </w:tc>
        <w:tc>
          <w:tcPr>
            <w:tcW w:type="dxa" w:w="5328"/>
          </w:tcPr>
          <w:p>
            <w:pPr>
              <w:spacing w:after="0"/>
            </w:pPr>
            <w:r/>
            <w:r>
              <w:rPr>
                <w:b w:val="0"/>
                <w:sz w:val="18"/>
              </w:rPr>
              <w:t>Market value passed with the Schedule article to the fee engine</w:t>
            </w:r>
          </w:p>
        </w:tc>
        <w:tc>
          <w:tcPr>
            <w:tcW w:type="dxa" w:w="1872"/>
          </w:tcPr>
          <w:p>
            <w:pPr>
              <w:spacing w:after="0"/>
            </w:pPr>
            <w:r/>
            <w:r>
              <w:rPr>
                <w:b w:val="0"/>
                <w:sz w:val="18"/>
              </w:rPr>
              <w:t>Sec. 3 + Schedule; FR-GVC-033</w:t>
            </w:r>
          </w:p>
        </w:tc>
      </w:tr>
    </w:tbl>
    <w:p/>
    <w:p>
      <w:pPr>
        <w:pStyle w:val="Heading4"/>
      </w:pPr>
      <w:r>
        <w:t>7.1.4 Valuation status model</w:t>
      </w:r>
    </w:p>
    <w:tbl>
      <w:tblPr>
        <w:tblStyle w:val="TableGrid"/>
        <w:tblW w:type="auto" w:w="0"/>
        <w:tblLook w:firstColumn="1" w:firstRow="1" w:lastColumn="0" w:lastRow="0" w:noHBand="0" w:noVBand="1" w:val="04A0"/>
      </w:tblPr>
      <w:tblGrid>
        <w:gridCol w:w="2556"/>
        <w:gridCol w:w="2556"/>
        <w:gridCol w:w="2556"/>
        <w:gridCol w:w="2556"/>
      </w:tblGrid>
      <w:tr>
        <w:tc>
          <w:tcPr>
            <w:tcW w:type="dxa" w:w="2160"/>
            <w:shd w:val="clear" w:color="auto" w:fill="D9E2F3"/>
          </w:tcPr>
          <w:p>
            <w:pPr>
              <w:spacing w:after="0"/>
            </w:pPr>
            <w:r/>
            <w:r>
              <w:rPr>
                <w:b/>
                <w:sz w:val="18"/>
              </w:rPr>
              <w:t>Status</w:t>
            </w:r>
          </w:p>
        </w:tc>
        <w:tc>
          <w:tcPr>
            <w:tcW w:type="dxa" w:w="4032"/>
            <w:shd w:val="clear" w:color="auto" w:fill="D9E2F3"/>
          </w:tcPr>
          <w:p>
            <w:pPr>
              <w:spacing w:after="0"/>
            </w:pPr>
            <w:r/>
            <w:r>
              <w:rPr>
                <w:b/>
                <w:sz w:val="18"/>
              </w:rPr>
              <w:t>Description</w:t>
            </w:r>
          </w:p>
        </w:tc>
        <w:tc>
          <w:tcPr>
            <w:tcW w:type="dxa" w:w="1440"/>
            <w:shd w:val="clear" w:color="auto" w:fill="D9E2F3"/>
          </w:tcPr>
          <w:p>
            <w:pPr>
              <w:spacing w:after="0"/>
            </w:pPr>
            <w:r/>
            <w:r>
              <w:rPr>
                <w:b/>
                <w:sz w:val="18"/>
              </w:rPr>
              <w:t>Actor</w:t>
            </w:r>
          </w:p>
        </w:tc>
        <w:tc>
          <w:tcPr>
            <w:tcW w:type="dxa" w:w="1728"/>
            <w:shd w:val="clear" w:color="auto" w:fill="D9E2F3"/>
          </w:tcPr>
          <w:p>
            <w:pPr>
              <w:spacing w:after="0"/>
            </w:pPr>
            <w:r/>
            <w:r>
              <w:rPr>
                <w:b/>
                <w:sz w:val="18"/>
              </w:rPr>
              <w:t>Next states</w:t>
            </w:r>
          </w:p>
        </w:tc>
      </w:tr>
      <w:tr>
        <w:tc>
          <w:tcPr>
            <w:tcW w:type="dxa" w:w="2160"/>
          </w:tcPr>
          <w:p>
            <w:pPr>
              <w:spacing w:after="0"/>
            </w:pPr>
            <w:r/>
            <w:r>
              <w:rPr>
                <w:b w:val="0"/>
                <w:sz w:val="18"/>
              </w:rPr>
              <w:t>Draft valuation</w:t>
            </w:r>
          </w:p>
        </w:tc>
        <w:tc>
          <w:tcPr>
            <w:tcW w:type="dxa" w:w="4032"/>
          </w:tcPr>
          <w:p>
            <w:pPr>
              <w:spacing w:after="0"/>
            </w:pPr>
            <w:r/>
            <w:r>
              <w:rPr>
                <w:b w:val="0"/>
                <w:sz w:val="18"/>
              </w:rPr>
              <w:t>Valuation started, not submitted</w:t>
            </w:r>
          </w:p>
        </w:tc>
        <w:tc>
          <w:tcPr>
            <w:tcW w:type="dxa" w:w="1440"/>
          </w:tcPr>
          <w:p>
            <w:pPr>
              <w:spacing w:after="0"/>
            </w:pPr>
            <w:r/>
            <w:r>
              <w:rPr>
                <w:b w:val="0"/>
                <w:sz w:val="18"/>
              </w:rPr>
              <w:t>Citizen / DEO</w:t>
            </w:r>
          </w:p>
        </w:tc>
        <w:tc>
          <w:tcPr>
            <w:tcW w:type="dxa" w:w="1728"/>
          </w:tcPr>
          <w:p>
            <w:pPr>
              <w:spacing w:after="0"/>
            </w:pPr>
            <w:r/>
            <w:r>
              <w:rPr>
                <w:b w:val="0"/>
                <w:sz w:val="18"/>
              </w:rPr>
              <w:t>Property identified</w:t>
            </w:r>
          </w:p>
        </w:tc>
      </w:tr>
      <w:tr>
        <w:tc>
          <w:tcPr>
            <w:tcW w:type="dxa" w:w="2160"/>
          </w:tcPr>
          <w:p>
            <w:pPr>
              <w:spacing w:after="0"/>
            </w:pPr>
            <w:r/>
            <w:r>
              <w:rPr>
                <w:b w:val="0"/>
                <w:sz w:val="18"/>
              </w:rPr>
              <w:t>Property identified</w:t>
            </w:r>
          </w:p>
        </w:tc>
        <w:tc>
          <w:tcPr>
            <w:tcW w:type="dxa" w:w="4032"/>
          </w:tcPr>
          <w:p>
            <w:pPr>
              <w:spacing w:after="0"/>
            </w:pPr>
            <w:r/>
            <w:r>
              <w:rPr>
                <w:b w:val="0"/>
                <w:sz w:val="18"/>
              </w:rPr>
              <w:t>Territorial division and survey / identifier captured</w:t>
            </w:r>
          </w:p>
        </w:tc>
        <w:tc>
          <w:tcPr>
            <w:tcW w:type="dxa" w:w="1440"/>
          </w:tcPr>
          <w:p>
            <w:pPr>
              <w:spacing w:after="0"/>
            </w:pPr>
            <w:r/>
            <w:r>
              <w:rPr>
                <w:b w:val="0"/>
                <w:sz w:val="18"/>
              </w:rPr>
              <w:t>Citizen / DEO</w:t>
            </w:r>
          </w:p>
        </w:tc>
        <w:tc>
          <w:tcPr>
            <w:tcW w:type="dxa" w:w="1728"/>
          </w:tcPr>
          <w:p>
            <w:pPr>
              <w:spacing w:after="0"/>
            </w:pPr>
            <w:r/>
            <w:r>
              <w:rPr>
                <w:b w:val="0"/>
                <w:sz w:val="18"/>
              </w:rPr>
              <w:t>Parcel matched / Manual area selected</w:t>
            </w:r>
          </w:p>
        </w:tc>
      </w:tr>
      <w:tr>
        <w:tc>
          <w:tcPr>
            <w:tcW w:type="dxa" w:w="2160"/>
          </w:tcPr>
          <w:p>
            <w:pPr>
              <w:spacing w:after="0"/>
            </w:pPr>
            <w:r/>
            <w:r>
              <w:rPr>
                <w:b w:val="0"/>
                <w:sz w:val="18"/>
              </w:rPr>
              <w:t>Parcel matched</w:t>
            </w:r>
          </w:p>
        </w:tc>
        <w:tc>
          <w:tcPr>
            <w:tcW w:type="dxa" w:w="4032"/>
          </w:tcPr>
          <w:p>
            <w:pPr>
              <w:spacing w:after="0"/>
            </w:pPr>
            <w:r/>
            <w:r>
              <w:rPr>
                <w:b w:val="0"/>
                <w:sz w:val="18"/>
              </w:rPr>
              <w:t>KSRSAC parcel found inside the selected village and matched to a CVC area / zone</w:t>
            </w:r>
          </w:p>
        </w:tc>
        <w:tc>
          <w:tcPr>
            <w:tcW w:type="dxa" w:w="1440"/>
          </w:tcPr>
          <w:p>
            <w:pPr>
              <w:spacing w:after="0"/>
            </w:pPr>
            <w:r/>
            <w:r>
              <w:rPr>
                <w:b w:val="0"/>
                <w:sz w:val="18"/>
              </w:rPr>
              <w:t>System</w:t>
            </w:r>
          </w:p>
        </w:tc>
        <w:tc>
          <w:tcPr>
            <w:tcW w:type="dxa" w:w="1728"/>
          </w:tcPr>
          <w:p>
            <w:pPr>
              <w:spacing w:after="0"/>
            </w:pPr>
            <w:r/>
            <w:r>
              <w:rPr>
                <w:b w:val="0"/>
                <w:sz w:val="18"/>
              </w:rPr>
              <w:t>Rate fetched</w:t>
            </w:r>
          </w:p>
        </w:tc>
      </w:tr>
      <w:tr>
        <w:tc>
          <w:tcPr>
            <w:tcW w:type="dxa" w:w="2160"/>
          </w:tcPr>
          <w:p>
            <w:pPr>
              <w:spacing w:after="0"/>
            </w:pPr>
            <w:r/>
            <w:r>
              <w:rPr>
                <w:b w:val="0"/>
                <w:sz w:val="18"/>
              </w:rPr>
              <w:t>Manual area selected</w:t>
            </w:r>
          </w:p>
        </w:tc>
        <w:tc>
          <w:tcPr>
            <w:tcW w:type="dxa" w:w="4032"/>
          </w:tcPr>
          <w:p>
            <w:pPr>
              <w:spacing w:after="0"/>
            </w:pPr>
            <w:r/>
            <w:r>
              <w:rPr>
                <w:b w:val="0"/>
                <w:sz w:val="18"/>
              </w:rPr>
              <w:t>Parcel not found or outside the village; user selected area with reason; flagged for SR</w:t>
            </w:r>
          </w:p>
        </w:tc>
        <w:tc>
          <w:tcPr>
            <w:tcW w:type="dxa" w:w="1440"/>
          </w:tcPr>
          <w:p>
            <w:pPr>
              <w:spacing w:after="0"/>
            </w:pPr>
            <w:r/>
            <w:r>
              <w:rPr>
                <w:b w:val="0"/>
                <w:sz w:val="18"/>
              </w:rPr>
              <w:t>Citizen / DEO</w:t>
            </w:r>
          </w:p>
        </w:tc>
        <w:tc>
          <w:tcPr>
            <w:tcW w:type="dxa" w:w="1728"/>
          </w:tcPr>
          <w:p>
            <w:pPr>
              <w:spacing w:after="0"/>
            </w:pPr>
            <w:r/>
            <w:r>
              <w:rPr>
                <w:b w:val="0"/>
                <w:sz w:val="18"/>
              </w:rPr>
              <w:t>Rate fetched</w:t>
            </w:r>
          </w:p>
        </w:tc>
      </w:tr>
      <w:tr>
        <w:tc>
          <w:tcPr>
            <w:tcW w:type="dxa" w:w="2160"/>
          </w:tcPr>
          <w:p>
            <w:pPr>
              <w:spacing w:after="0"/>
            </w:pPr>
            <w:r/>
            <w:r>
              <w:rPr>
                <w:b w:val="0"/>
                <w:sz w:val="18"/>
              </w:rPr>
              <w:t>Rate fetched</w:t>
            </w:r>
          </w:p>
        </w:tc>
        <w:tc>
          <w:tcPr>
            <w:tcW w:type="dxa" w:w="4032"/>
          </w:tcPr>
          <w:p>
            <w:pPr>
              <w:spacing w:after="0"/>
            </w:pPr>
            <w:r/>
            <w:r>
              <w:rPr>
                <w:b w:val="0"/>
                <w:sz w:val="18"/>
              </w:rPr>
              <w:t>Active CVC rate version for the execution date retrieved</w:t>
            </w:r>
          </w:p>
        </w:tc>
        <w:tc>
          <w:tcPr>
            <w:tcW w:type="dxa" w:w="1440"/>
          </w:tcPr>
          <w:p>
            <w:pPr>
              <w:spacing w:after="0"/>
            </w:pPr>
            <w:r/>
            <w:r>
              <w:rPr>
                <w:b w:val="0"/>
                <w:sz w:val="18"/>
              </w:rPr>
              <w:t>System</w:t>
            </w:r>
          </w:p>
        </w:tc>
        <w:tc>
          <w:tcPr>
            <w:tcW w:type="dxa" w:w="1728"/>
          </w:tcPr>
          <w:p>
            <w:pPr>
              <w:spacing w:after="0"/>
            </w:pPr>
            <w:r/>
            <w:r>
              <w:rPr>
                <w:b w:val="0"/>
                <w:sz w:val="18"/>
              </w:rPr>
              <w:t>Valuation computed / Rate not available</w:t>
            </w:r>
          </w:p>
        </w:tc>
      </w:tr>
      <w:tr>
        <w:tc>
          <w:tcPr>
            <w:tcW w:type="dxa" w:w="2160"/>
          </w:tcPr>
          <w:p>
            <w:pPr>
              <w:spacing w:after="0"/>
            </w:pPr>
            <w:r/>
            <w:r>
              <w:rPr>
                <w:b w:val="0"/>
                <w:sz w:val="18"/>
              </w:rPr>
              <w:t>Rate not available</w:t>
            </w:r>
          </w:p>
        </w:tc>
        <w:tc>
          <w:tcPr>
            <w:tcW w:type="dxa" w:w="4032"/>
          </w:tcPr>
          <w:p>
            <w:pPr>
              <w:spacing w:after="0"/>
            </w:pPr>
            <w:r/>
            <w:r>
              <w:rPr>
                <w:b w:val="0"/>
                <w:sz w:val="18"/>
              </w:rPr>
              <w:t>No rate for area / property type; rate-gap logged to CVC</w:t>
            </w:r>
          </w:p>
        </w:tc>
        <w:tc>
          <w:tcPr>
            <w:tcW w:type="dxa" w:w="1440"/>
          </w:tcPr>
          <w:p>
            <w:pPr>
              <w:spacing w:after="0"/>
            </w:pPr>
            <w:r/>
            <w:r>
              <w:rPr>
                <w:b w:val="0"/>
                <w:sz w:val="18"/>
              </w:rPr>
              <w:t>System</w:t>
            </w:r>
          </w:p>
        </w:tc>
        <w:tc>
          <w:tcPr>
            <w:tcW w:type="dxa" w:w="1728"/>
          </w:tcPr>
          <w:p>
            <w:pPr>
              <w:spacing w:after="0"/>
            </w:pPr>
            <w:r/>
            <w:r>
              <w:rPr>
                <w:b w:val="0"/>
                <w:sz w:val="18"/>
              </w:rPr>
              <w:t>Rate fetched (after CVC action) / SR-assessed</w:t>
            </w:r>
          </w:p>
        </w:tc>
      </w:tr>
      <w:tr>
        <w:tc>
          <w:tcPr>
            <w:tcW w:type="dxa" w:w="2160"/>
          </w:tcPr>
          <w:p>
            <w:pPr>
              <w:spacing w:after="0"/>
            </w:pPr>
            <w:r/>
            <w:r>
              <w:rPr>
                <w:b w:val="0"/>
                <w:sz w:val="18"/>
              </w:rPr>
              <w:t>Valuation computed</w:t>
            </w:r>
          </w:p>
        </w:tc>
        <w:tc>
          <w:tcPr>
            <w:tcW w:type="dxa" w:w="4032"/>
          </w:tcPr>
          <w:p>
            <w:pPr>
              <w:spacing w:after="0"/>
            </w:pPr>
            <w:r/>
            <w:r>
              <w:rPr>
                <w:b w:val="0"/>
                <w:sz w:val="18"/>
              </w:rPr>
              <w:t>Guideline value computed with breakup</w:t>
            </w:r>
          </w:p>
        </w:tc>
        <w:tc>
          <w:tcPr>
            <w:tcW w:type="dxa" w:w="1440"/>
          </w:tcPr>
          <w:p>
            <w:pPr>
              <w:spacing w:after="0"/>
            </w:pPr>
            <w:r/>
            <w:r>
              <w:rPr>
                <w:b w:val="0"/>
                <w:sz w:val="18"/>
              </w:rPr>
              <w:t>System</w:t>
            </w:r>
          </w:p>
        </w:tc>
        <w:tc>
          <w:tcPr>
            <w:tcW w:type="dxa" w:w="1728"/>
          </w:tcPr>
          <w:p>
            <w:pPr>
              <w:spacing w:after="0"/>
            </w:pPr>
            <w:r/>
            <w:r>
              <w:rPr>
                <w:b w:val="0"/>
                <w:sz w:val="18"/>
              </w:rPr>
              <w:t>Market value determined</w:t>
            </w:r>
          </w:p>
        </w:tc>
      </w:tr>
      <w:tr>
        <w:tc>
          <w:tcPr>
            <w:tcW w:type="dxa" w:w="2160"/>
          </w:tcPr>
          <w:p>
            <w:pPr>
              <w:spacing w:after="0"/>
            </w:pPr>
            <w:r/>
            <w:r>
              <w:rPr>
                <w:b w:val="0"/>
                <w:sz w:val="18"/>
              </w:rPr>
              <w:t>Market value determined</w:t>
            </w:r>
          </w:p>
        </w:tc>
        <w:tc>
          <w:tcPr>
            <w:tcW w:type="dxa" w:w="4032"/>
          </w:tcPr>
          <w:p>
            <w:pPr>
              <w:spacing w:after="0"/>
            </w:pPr>
            <w:r/>
            <w:r>
              <w:rPr>
                <w:b w:val="0"/>
                <w:sz w:val="18"/>
              </w:rPr>
              <w:t>Consideration captured; market value and duty / fee computed</w:t>
            </w:r>
          </w:p>
        </w:tc>
        <w:tc>
          <w:tcPr>
            <w:tcW w:type="dxa" w:w="1440"/>
          </w:tcPr>
          <w:p>
            <w:pPr>
              <w:spacing w:after="0"/>
            </w:pPr>
            <w:r/>
            <w:r>
              <w:rPr>
                <w:b w:val="0"/>
                <w:sz w:val="18"/>
              </w:rPr>
              <w:t>System</w:t>
            </w:r>
          </w:p>
        </w:tc>
        <w:tc>
          <w:tcPr>
            <w:tcW w:type="dxa" w:w="1728"/>
          </w:tcPr>
          <w:p>
            <w:pPr>
              <w:spacing w:after="0"/>
            </w:pPr>
            <w:r/>
            <w:r>
              <w:rPr>
                <w:b w:val="0"/>
                <w:sz w:val="18"/>
              </w:rPr>
              <w:t>Submitted</w:t>
            </w:r>
          </w:p>
        </w:tc>
      </w:tr>
      <w:tr>
        <w:tc>
          <w:tcPr>
            <w:tcW w:type="dxa" w:w="2160"/>
          </w:tcPr>
          <w:p>
            <w:pPr>
              <w:spacing w:after="0"/>
            </w:pPr>
            <w:r/>
            <w:r>
              <w:rPr>
                <w:b w:val="0"/>
                <w:sz w:val="18"/>
              </w:rPr>
              <w:t>Submitted</w:t>
            </w:r>
          </w:p>
        </w:tc>
        <w:tc>
          <w:tcPr>
            <w:tcW w:type="dxa" w:w="4032"/>
          </w:tcPr>
          <w:p>
            <w:pPr>
              <w:spacing w:after="0"/>
            </w:pPr>
            <w:r/>
            <w:r>
              <w:rPr>
                <w:b w:val="0"/>
                <w:sz w:val="18"/>
              </w:rPr>
              <w:t>Valuation summary submitted with the application</w:t>
            </w:r>
          </w:p>
        </w:tc>
        <w:tc>
          <w:tcPr>
            <w:tcW w:type="dxa" w:w="1440"/>
          </w:tcPr>
          <w:p>
            <w:pPr>
              <w:spacing w:after="0"/>
            </w:pPr>
            <w:r/>
            <w:r>
              <w:rPr>
                <w:b w:val="0"/>
                <w:sz w:val="18"/>
              </w:rPr>
              <w:t>Citizen / DEO</w:t>
            </w:r>
          </w:p>
        </w:tc>
        <w:tc>
          <w:tcPr>
            <w:tcW w:type="dxa" w:w="1728"/>
          </w:tcPr>
          <w:p>
            <w:pPr>
              <w:spacing w:after="0"/>
            </w:pPr>
            <w:r/>
            <w:r>
              <w:rPr>
                <w:b w:val="0"/>
                <w:sz w:val="18"/>
              </w:rPr>
              <w:t>Pending SR verification</w:t>
            </w:r>
          </w:p>
        </w:tc>
      </w:tr>
      <w:tr>
        <w:tc>
          <w:tcPr>
            <w:tcW w:type="dxa" w:w="2160"/>
          </w:tcPr>
          <w:p>
            <w:pPr>
              <w:spacing w:after="0"/>
            </w:pPr>
            <w:r/>
            <w:r>
              <w:rPr>
                <w:b w:val="0"/>
                <w:sz w:val="18"/>
              </w:rPr>
              <w:t>Pending SR verification</w:t>
            </w:r>
          </w:p>
        </w:tc>
        <w:tc>
          <w:tcPr>
            <w:tcW w:type="dxa" w:w="4032"/>
          </w:tcPr>
          <w:p>
            <w:pPr>
              <w:spacing w:after="0"/>
            </w:pPr>
            <w:r/>
            <w:r>
              <w:rPr>
                <w:b w:val="0"/>
                <w:sz w:val="18"/>
              </w:rPr>
              <w:t>Awaiting SR scrutiny</w:t>
            </w:r>
          </w:p>
        </w:tc>
        <w:tc>
          <w:tcPr>
            <w:tcW w:type="dxa" w:w="1440"/>
          </w:tcPr>
          <w:p>
            <w:pPr>
              <w:spacing w:after="0"/>
            </w:pPr>
            <w:r/>
            <w:r>
              <w:rPr>
                <w:b w:val="0"/>
                <w:sz w:val="18"/>
              </w:rPr>
              <w:t>SR</w:t>
            </w:r>
          </w:p>
        </w:tc>
        <w:tc>
          <w:tcPr>
            <w:tcW w:type="dxa" w:w="1728"/>
          </w:tcPr>
          <w:p>
            <w:pPr>
              <w:spacing w:after="0"/>
            </w:pPr>
            <w:r/>
            <w:r>
              <w:rPr>
                <w:b w:val="0"/>
                <w:sz w:val="18"/>
              </w:rPr>
              <w:t>Accepted / Sent back for revaluation / Referred under Sec. 45-A</w:t>
            </w:r>
          </w:p>
        </w:tc>
      </w:tr>
      <w:tr>
        <w:tc>
          <w:tcPr>
            <w:tcW w:type="dxa" w:w="2160"/>
          </w:tcPr>
          <w:p>
            <w:pPr>
              <w:spacing w:after="0"/>
            </w:pPr>
            <w:r/>
            <w:r>
              <w:rPr>
                <w:b w:val="0"/>
                <w:sz w:val="18"/>
              </w:rPr>
              <w:t>Sent back for revaluation</w:t>
            </w:r>
          </w:p>
        </w:tc>
        <w:tc>
          <w:tcPr>
            <w:tcW w:type="dxa" w:w="4032"/>
          </w:tcPr>
          <w:p>
            <w:pPr>
              <w:spacing w:after="0"/>
            </w:pPr>
            <w:r/>
            <w:r>
              <w:rPr>
                <w:b w:val="0"/>
                <w:sz w:val="18"/>
              </w:rPr>
              <w:t>Returned with remarks; data retained; SR may withdraw before citizen acts</w:t>
            </w:r>
          </w:p>
        </w:tc>
        <w:tc>
          <w:tcPr>
            <w:tcW w:type="dxa" w:w="1440"/>
          </w:tcPr>
          <w:p>
            <w:pPr>
              <w:spacing w:after="0"/>
            </w:pPr>
            <w:r/>
            <w:r>
              <w:rPr>
                <w:b w:val="0"/>
                <w:sz w:val="18"/>
              </w:rPr>
              <w:t>SR</w:t>
            </w:r>
          </w:p>
        </w:tc>
        <w:tc>
          <w:tcPr>
            <w:tcW w:type="dxa" w:w="1728"/>
          </w:tcPr>
          <w:p>
            <w:pPr>
              <w:spacing w:after="0"/>
            </w:pPr>
            <w:r/>
            <w:r>
              <w:rPr>
                <w:b w:val="0"/>
                <w:sz w:val="18"/>
              </w:rPr>
              <w:t>Valuation computed (after correction) / Pending SR verification (withdrawn)</w:t>
            </w:r>
          </w:p>
        </w:tc>
      </w:tr>
      <w:tr>
        <w:tc>
          <w:tcPr>
            <w:tcW w:type="dxa" w:w="2160"/>
          </w:tcPr>
          <w:p>
            <w:pPr>
              <w:spacing w:after="0"/>
            </w:pPr>
            <w:r/>
            <w:r>
              <w:rPr>
                <w:b w:val="0"/>
                <w:sz w:val="18"/>
              </w:rPr>
              <w:t>Referred under Sec. 45-A</w:t>
            </w:r>
          </w:p>
        </w:tc>
        <w:tc>
          <w:tcPr>
            <w:tcW w:type="dxa" w:w="4032"/>
          </w:tcPr>
          <w:p>
            <w:pPr>
              <w:spacing w:after="0"/>
            </w:pPr>
            <w:r/>
            <w:r>
              <w:rPr>
                <w:b w:val="0"/>
                <w:sz w:val="18"/>
              </w:rPr>
              <w:t>Process B started; registration pending</w:t>
            </w:r>
          </w:p>
        </w:tc>
        <w:tc>
          <w:tcPr>
            <w:tcW w:type="dxa" w:w="1440"/>
          </w:tcPr>
          <w:p>
            <w:pPr>
              <w:spacing w:after="0"/>
            </w:pPr>
            <w:r/>
            <w:r>
              <w:rPr>
                <w:b w:val="0"/>
                <w:sz w:val="18"/>
              </w:rPr>
              <w:t>SR</w:t>
            </w:r>
          </w:p>
        </w:tc>
        <w:tc>
          <w:tcPr>
            <w:tcW w:type="dxa" w:w="1728"/>
          </w:tcPr>
          <w:p>
            <w:pPr>
              <w:spacing w:after="0"/>
            </w:pPr>
            <w:r/>
            <w:r>
              <w:rPr>
                <w:b w:val="0"/>
                <w:sz w:val="18"/>
              </w:rPr>
              <w:t>Accepted (after duty paid) / Adjudicated</w:t>
            </w:r>
          </w:p>
        </w:tc>
      </w:tr>
      <w:tr>
        <w:tc>
          <w:tcPr>
            <w:tcW w:type="dxa" w:w="2160"/>
          </w:tcPr>
          <w:p>
            <w:pPr>
              <w:spacing w:after="0"/>
            </w:pPr>
            <w:r/>
            <w:r>
              <w:rPr>
                <w:b w:val="0"/>
                <w:sz w:val="18"/>
              </w:rPr>
              <w:t>Adjudicated</w:t>
            </w:r>
          </w:p>
        </w:tc>
        <w:tc>
          <w:tcPr>
            <w:tcW w:type="dxa" w:w="4032"/>
          </w:tcPr>
          <w:p>
            <w:pPr>
              <w:spacing w:after="0"/>
            </w:pPr>
            <w:r/>
            <w:r>
              <w:rPr>
                <w:b w:val="0"/>
                <w:sz w:val="18"/>
              </w:rPr>
              <w:t>DC / appellate value locked for this instrument</w:t>
            </w:r>
          </w:p>
        </w:tc>
        <w:tc>
          <w:tcPr>
            <w:tcW w:type="dxa" w:w="1440"/>
          </w:tcPr>
          <w:p>
            <w:pPr>
              <w:spacing w:after="0"/>
            </w:pPr>
            <w:r/>
            <w:r>
              <w:rPr>
                <w:b w:val="0"/>
                <w:sz w:val="18"/>
              </w:rPr>
              <w:t>DC / Regional Commissioner</w:t>
            </w:r>
          </w:p>
        </w:tc>
        <w:tc>
          <w:tcPr>
            <w:tcW w:type="dxa" w:w="1728"/>
          </w:tcPr>
          <w:p>
            <w:pPr>
              <w:spacing w:after="0"/>
            </w:pPr>
            <w:r/>
            <w:r>
              <w:rPr>
                <w:b w:val="0"/>
                <w:sz w:val="18"/>
              </w:rPr>
              <w:t>Accepted</w:t>
            </w:r>
          </w:p>
        </w:tc>
      </w:tr>
      <w:tr>
        <w:tc>
          <w:tcPr>
            <w:tcW w:type="dxa" w:w="2160"/>
          </w:tcPr>
          <w:p>
            <w:pPr>
              <w:spacing w:after="0"/>
            </w:pPr>
            <w:r/>
            <w:r>
              <w:rPr>
                <w:b w:val="0"/>
                <w:sz w:val="18"/>
              </w:rPr>
              <w:t>Accepted</w:t>
            </w:r>
          </w:p>
        </w:tc>
        <w:tc>
          <w:tcPr>
            <w:tcW w:type="dxa" w:w="4032"/>
          </w:tcPr>
          <w:p>
            <w:pPr>
              <w:spacing w:after="0"/>
            </w:pPr>
            <w:r/>
            <w:r>
              <w:rPr>
                <w:b w:val="0"/>
                <w:sz w:val="18"/>
              </w:rPr>
              <w:t>Valuation accepted; proceeds to payment and registration</w:t>
            </w:r>
          </w:p>
        </w:tc>
        <w:tc>
          <w:tcPr>
            <w:tcW w:type="dxa" w:w="1440"/>
          </w:tcPr>
          <w:p>
            <w:pPr>
              <w:spacing w:after="0"/>
            </w:pPr>
            <w:r/>
            <w:r>
              <w:rPr>
                <w:b w:val="0"/>
                <w:sz w:val="18"/>
              </w:rPr>
              <w:t>SR</w:t>
            </w:r>
          </w:p>
        </w:tc>
        <w:tc>
          <w:tcPr>
            <w:tcW w:type="dxa" w:w="1728"/>
          </w:tcPr>
          <w:p>
            <w:pPr>
              <w:spacing w:after="0"/>
            </w:pPr>
            <w:r/>
            <w:r>
              <w:rPr>
                <w:b w:val="0"/>
                <w:sz w:val="18"/>
              </w:rPr>
              <w:t>Locked</w:t>
            </w:r>
          </w:p>
        </w:tc>
      </w:tr>
      <w:tr>
        <w:tc>
          <w:tcPr>
            <w:tcW w:type="dxa" w:w="2160"/>
          </w:tcPr>
          <w:p>
            <w:pPr>
              <w:spacing w:after="0"/>
            </w:pPr>
            <w:r/>
            <w:r>
              <w:rPr>
                <w:b w:val="0"/>
                <w:sz w:val="18"/>
              </w:rPr>
              <w:t>Locked</w:t>
            </w:r>
          </w:p>
        </w:tc>
        <w:tc>
          <w:tcPr>
            <w:tcW w:type="dxa" w:w="4032"/>
          </w:tcPr>
          <w:p>
            <w:pPr>
              <w:spacing w:after="0"/>
            </w:pPr>
            <w:r/>
            <w:r>
              <w:rPr>
                <w:b w:val="0"/>
                <w:sz w:val="18"/>
              </w:rPr>
              <w:t>Valuation frozen on registration; persisted to document, index and EC</w:t>
            </w:r>
          </w:p>
        </w:tc>
        <w:tc>
          <w:tcPr>
            <w:tcW w:type="dxa" w:w="1440"/>
          </w:tcPr>
          <w:p>
            <w:pPr>
              <w:spacing w:after="0"/>
            </w:pPr>
            <w:r/>
            <w:r>
              <w:rPr>
                <w:b w:val="0"/>
                <w:sz w:val="18"/>
              </w:rPr>
              <w:t>System</w:t>
            </w:r>
          </w:p>
        </w:tc>
        <w:tc>
          <w:tcPr>
            <w:tcW w:type="dxa" w:w="1728"/>
          </w:tcPr>
          <w:p>
            <w:pPr>
              <w:spacing w:after="0"/>
            </w:pPr>
            <w:r/>
            <w:r>
              <w:rPr>
                <w:b w:val="0"/>
                <w:sz w:val="18"/>
              </w:rPr>
              <w:t>—</w:t>
            </w:r>
          </w:p>
        </w:tc>
      </w:tr>
    </w:tbl>
    <w:p/>
    <w:p>
      <w:pPr>
        <w:pStyle w:val="Heading3"/>
      </w:pPr>
      <w:r>
        <w:t>7.2 Process B — Undervaluation reference under Sec. 45-A</w:t>
      </w:r>
    </w:p>
    <w:p>
      <w:pPr>
        <w:pStyle w:val="Heading4"/>
      </w:pPr>
      <w:r>
        <w:t>7.2.1 Trigger model</w:t>
      </w:r>
    </w:p>
    <w:tbl>
      <w:tblPr>
        <w:tblStyle w:val="TableGrid"/>
        <w:tblW w:type="auto" w:w="0"/>
        <w:tblLook w:firstColumn="1" w:firstRow="1" w:lastColumn="0" w:lastRow="0" w:noHBand="0" w:noVBand="1" w:val="04A0"/>
      </w:tblPr>
      <w:tblGrid>
        <w:gridCol w:w="2556"/>
        <w:gridCol w:w="2556"/>
        <w:gridCol w:w="2556"/>
        <w:gridCol w:w="2556"/>
      </w:tblGrid>
      <w:tr>
        <w:tc>
          <w:tcPr>
            <w:tcW w:type="dxa" w:w="2304"/>
            <w:shd w:val="clear" w:color="auto" w:fill="D9E2F3"/>
          </w:tcPr>
          <w:p>
            <w:pPr>
              <w:spacing w:after="0"/>
            </w:pPr>
            <w:r/>
            <w:r>
              <w:rPr>
                <w:b/>
                <w:sz w:val="18"/>
              </w:rPr>
              <w:t>Trigger</w:t>
            </w:r>
          </w:p>
        </w:tc>
        <w:tc>
          <w:tcPr>
            <w:tcW w:type="dxa" w:w="3456"/>
            <w:shd w:val="clear" w:color="auto" w:fill="D9E2F3"/>
          </w:tcPr>
          <w:p>
            <w:pPr>
              <w:spacing w:after="0"/>
            </w:pPr>
            <w:r/>
            <w:r>
              <w:rPr>
                <w:b/>
                <w:sz w:val="18"/>
              </w:rPr>
              <w:t>Initiated by</w:t>
            </w:r>
          </w:p>
        </w:tc>
        <w:tc>
          <w:tcPr>
            <w:tcW w:type="dxa" w:w="1728"/>
            <w:shd w:val="clear" w:color="auto" w:fill="D9E2F3"/>
          </w:tcPr>
          <w:p>
            <w:pPr>
              <w:spacing w:after="0"/>
            </w:pPr>
            <w:r/>
            <w:r>
              <w:rPr>
                <w:b/>
                <w:sz w:val="18"/>
              </w:rPr>
              <w:t>Statutory basis</w:t>
            </w:r>
          </w:p>
        </w:tc>
        <w:tc>
          <w:tcPr>
            <w:tcW w:type="dxa" w:w="1872"/>
            <w:shd w:val="clear" w:color="auto" w:fill="D9E2F3"/>
          </w:tcPr>
          <w:p>
            <w:pPr>
              <w:spacing w:after="0"/>
            </w:pPr>
            <w:r/>
            <w:r>
              <w:rPr>
                <w:b/>
                <w:sz w:val="18"/>
              </w:rPr>
              <w:t>Entry step</w:t>
            </w:r>
          </w:p>
        </w:tc>
      </w:tr>
      <w:tr>
        <w:tc>
          <w:tcPr>
            <w:tcW w:type="dxa" w:w="2304"/>
          </w:tcPr>
          <w:p>
            <w:pPr>
              <w:spacing w:after="0"/>
            </w:pPr>
            <w:r/>
            <w:r>
              <w:rPr>
                <w:b w:val="0"/>
                <w:sz w:val="18"/>
              </w:rPr>
              <w:t>Reference during registration</w:t>
            </w:r>
          </w:p>
        </w:tc>
        <w:tc>
          <w:tcPr>
            <w:tcW w:type="dxa" w:w="3456"/>
          </w:tcPr>
          <w:p>
            <w:pPr>
              <w:spacing w:after="0"/>
            </w:pPr>
            <w:r/>
            <w:r>
              <w:rPr>
                <w:b w:val="0"/>
                <w:sz w:val="18"/>
              </w:rPr>
              <w:t>Sub-Registrar from Process A step 14</w:t>
            </w:r>
          </w:p>
        </w:tc>
        <w:tc>
          <w:tcPr>
            <w:tcW w:type="dxa" w:w="1728"/>
          </w:tcPr>
          <w:p>
            <w:pPr>
              <w:spacing w:after="0"/>
            </w:pPr>
            <w:r/>
            <w:r>
              <w:rPr>
                <w:b w:val="0"/>
                <w:sz w:val="18"/>
              </w:rPr>
              <w:t>Sec. 45-A(1)</w:t>
            </w:r>
          </w:p>
        </w:tc>
        <w:tc>
          <w:tcPr>
            <w:tcW w:type="dxa" w:w="1872"/>
          </w:tcPr>
          <w:p>
            <w:pPr>
              <w:spacing w:after="0"/>
            </w:pPr>
            <w:r/>
            <w:r>
              <w:rPr>
                <w:b w:val="0"/>
                <w:sz w:val="18"/>
              </w:rPr>
              <w:t>Step 1</w:t>
            </w:r>
          </w:p>
        </w:tc>
      </w:tr>
      <w:tr>
        <w:tc>
          <w:tcPr>
            <w:tcW w:type="dxa" w:w="2304"/>
          </w:tcPr>
          <w:p>
            <w:pPr>
              <w:spacing w:after="0"/>
            </w:pPr>
            <w:r/>
            <w:r>
              <w:rPr>
                <w:b w:val="0"/>
                <w:sz w:val="18"/>
              </w:rPr>
              <w:t>Suo motu examination</w:t>
            </w:r>
          </w:p>
        </w:tc>
        <w:tc>
          <w:tcPr>
            <w:tcW w:type="dxa" w:w="3456"/>
          </w:tcPr>
          <w:p>
            <w:pPr>
              <w:spacing w:after="0"/>
            </w:pPr>
            <w:r/>
            <w:r>
              <w:rPr>
                <w:b w:val="0"/>
                <w:sz w:val="18"/>
              </w:rPr>
              <w:t>Deputy Commissioner, within two years from the date of registration, for an instrument not already referred</w:t>
            </w:r>
          </w:p>
        </w:tc>
        <w:tc>
          <w:tcPr>
            <w:tcW w:type="dxa" w:w="1728"/>
          </w:tcPr>
          <w:p>
            <w:pPr>
              <w:spacing w:after="0"/>
            </w:pPr>
            <w:r/>
            <w:r>
              <w:rPr>
                <w:b w:val="0"/>
                <w:sz w:val="18"/>
              </w:rPr>
              <w:t>Sec. 45-A(3)</w:t>
            </w:r>
          </w:p>
        </w:tc>
        <w:tc>
          <w:tcPr>
            <w:tcW w:type="dxa" w:w="1872"/>
          </w:tcPr>
          <w:p>
            <w:pPr>
              <w:spacing w:after="0"/>
            </w:pPr>
            <w:r/>
            <w:r>
              <w:rPr>
                <w:b w:val="0"/>
                <w:sz w:val="18"/>
              </w:rPr>
              <w:t>DC start → step 5</w:t>
            </w:r>
          </w:p>
        </w:tc>
      </w:tr>
    </w:tbl>
    <w:p/>
    <w:p>
      <w:pPr>
        <w:pStyle w:val="Heading4"/>
      </w:pPr>
      <w:r>
        <w:t>7.2.2 Process diagram</w:t>
      </w:r>
    </w:p>
    <w:p>
      <w:pPr>
        <w:jc w:val="center"/>
      </w:pPr>
      <w:r>
        <w:drawing>
          <wp:inline xmlns:a="http://schemas.openxmlformats.org/drawingml/2006/main" xmlns:pic="http://schemas.openxmlformats.org/drawingml/2006/picture">
            <wp:extent cx="4560014" cy="7680959"/>
            <wp:docPr id="2" name="Picture 2"/>
            <wp:cNvGraphicFramePr>
              <a:graphicFrameLocks noChangeAspect="1"/>
            </wp:cNvGraphicFramePr>
            <a:graphic>
              <a:graphicData uri="http://schemas.openxmlformats.org/drawingml/2006/picture">
                <pic:pic>
                  <pic:nvPicPr>
                    <pic:cNvPr id="0" name="Process_B_Sec45A_Undervaluation.png"/>
                    <pic:cNvPicPr/>
                  </pic:nvPicPr>
                  <pic:blipFill>
                    <a:blip r:embed="rId13"/>
                    <a:stretch>
                      <a:fillRect/>
                    </a:stretch>
                  </pic:blipFill>
                  <pic:spPr>
                    <a:xfrm>
                      <a:off x="0" y="0"/>
                      <a:ext cx="4560014" cy="7680959"/>
                    </a:xfrm>
                    <a:prstGeom prst="rect"/>
                  </pic:spPr>
                </pic:pic>
              </a:graphicData>
            </a:graphic>
          </wp:inline>
        </w:drawing>
      </w:r>
    </w:p>
    <w:p>
      <w:pPr>
        <w:pStyle w:val="Caption"/>
      </w:pPr>
      <w:r>
        <w:t>Figure 2: Process B — Undervaluation Reference under Section 45-A</w:t>
      </w:r>
    </w:p>
    <w:tbl>
      <w:tblPr>
        <w:tblStyle w:val="TableGrid"/>
        <w:tblW w:type="auto" w:w="0"/>
        <w:tblLook w:firstColumn="1" w:firstRow="1" w:lastColumn="0" w:lastRow="0" w:noHBand="0" w:noVBand="1" w:val="04A0"/>
      </w:tblPr>
      <w:tblGrid>
        <w:gridCol w:w="2556"/>
        <w:gridCol w:w="2556"/>
        <w:gridCol w:w="2556"/>
        <w:gridCol w:w="2556"/>
      </w:tblGrid>
      <w:tr>
        <w:tc>
          <w:tcPr>
            <w:tcW w:type="dxa" w:w="576"/>
            <w:shd w:val="clear" w:color="auto" w:fill="D9E2F3"/>
          </w:tcPr>
          <w:p>
            <w:pPr>
              <w:spacing w:after="0"/>
            </w:pPr>
            <w:r/>
            <w:r>
              <w:rPr>
                <w:b/>
                <w:sz w:val="18"/>
              </w:rPr>
              <w:t>#</w:t>
            </w:r>
          </w:p>
        </w:tc>
        <w:tc>
          <w:tcPr>
            <w:tcW w:type="dxa" w:w="3744"/>
            <w:shd w:val="clear" w:color="auto" w:fill="D9E2F3"/>
          </w:tcPr>
          <w:p>
            <w:pPr>
              <w:spacing w:after="0"/>
            </w:pPr>
            <w:r/>
            <w:r>
              <w:rPr>
                <w:b/>
                <w:sz w:val="18"/>
              </w:rPr>
              <w:t>Step</w:t>
            </w:r>
          </w:p>
        </w:tc>
        <w:tc>
          <w:tcPr>
            <w:tcW w:type="dxa" w:w="1728"/>
            <w:shd w:val="clear" w:color="auto" w:fill="D9E2F3"/>
          </w:tcPr>
          <w:p>
            <w:pPr>
              <w:spacing w:after="0"/>
            </w:pPr>
            <w:r/>
            <w:r>
              <w:rPr>
                <w:b/>
                <w:sz w:val="18"/>
              </w:rPr>
              <w:t>Lane</w:t>
            </w:r>
          </w:p>
        </w:tc>
        <w:tc>
          <w:tcPr>
            <w:tcW w:type="dxa" w:w="3312"/>
            <w:shd w:val="clear" w:color="auto" w:fill="D9E2F3"/>
          </w:tcPr>
          <w:p>
            <w:pPr>
              <w:spacing w:after="0"/>
            </w:pPr>
            <w:r/>
            <w:r>
              <w:rPr>
                <w:b/>
                <w:sz w:val="18"/>
              </w:rPr>
              <w:t>Notes</w:t>
            </w:r>
          </w:p>
        </w:tc>
      </w:tr>
      <w:tr>
        <w:tc>
          <w:tcPr>
            <w:tcW w:type="dxa" w:w="576"/>
          </w:tcPr>
          <w:p>
            <w:pPr>
              <w:spacing w:after="0"/>
            </w:pPr>
            <w:r/>
            <w:r>
              <w:rPr>
                <w:b w:val="0"/>
                <w:sz w:val="18"/>
              </w:rPr>
              <w:t>1</w:t>
            </w:r>
          </w:p>
        </w:tc>
        <w:tc>
          <w:tcPr>
            <w:tcW w:type="dxa" w:w="3744"/>
          </w:tcPr>
          <w:p>
            <w:pPr>
              <w:spacing w:after="0"/>
            </w:pPr>
            <w:r/>
            <w:r>
              <w:rPr>
                <w:b w:val="0"/>
                <w:sz w:val="18"/>
              </w:rPr>
              <w:t>Arrive at the estimated market value (CVC guidelines or otherwise) and record reasons</w:t>
            </w:r>
          </w:p>
        </w:tc>
        <w:tc>
          <w:tcPr>
            <w:tcW w:type="dxa" w:w="1728"/>
          </w:tcPr>
          <w:p>
            <w:pPr>
              <w:spacing w:after="0"/>
            </w:pPr>
            <w:r/>
            <w:r>
              <w:rPr>
                <w:b w:val="0"/>
                <w:sz w:val="18"/>
              </w:rPr>
              <w:t>Sub-Registrar</w:t>
            </w:r>
          </w:p>
        </w:tc>
        <w:tc>
          <w:tcPr>
            <w:tcW w:type="dxa" w:w="3312"/>
          </w:tcPr>
          <w:p>
            <w:pPr>
              <w:spacing w:after="0"/>
            </w:pPr>
            <w:r/>
            <w:r>
              <w:rPr>
                <w:b w:val="0"/>
                <w:sz w:val="18"/>
              </w:rPr>
              <w:t>Sec. 45-A(1); instrument must be in 3.5</w:t>
            </w:r>
          </w:p>
        </w:tc>
      </w:tr>
      <w:tr>
        <w:tc>
          <w:tcPr>
            <w:tcW w:type="dxa" w:w="576"/>
          </w:tcPr>
          <w:p>
            <w:pPr>
              <w:spacing w:after="0"/>
            </w:pPr>
            <w:r/>
            <w:r>
              <w:rPr>
                <w:b w:val="0"/>
                <w:sz w:val="18"/>
              </w:rPr>
              <w:t>2</w:t>
            </w:r>
          </w:p>
        </w:tc>
        <w:tc>
          <w:tcPr>
            <w:tcW w:type="dxa" w:w="3744"/>
          </w:tcPr>
          <w:p>
            <w:pPr>
              <w:spacing w:after="0"/>
            </w:pPr>
            <w:r/>
            <w:r>
              <w:rPr>
                <w:b w:val="0"/>
                <w:sz w:val="18"/>
              </w:rPr>
              <w:t>Communicate estimated value and extra duty to the parties (SMS / e-mail / portal)</w:t>
            </w:r>
          </w:p>
        </w:tc>
        <w:tc>
          <w:tcPr>
            <w:tcW w:type="dxa" w:w="1728"/>
          </w:tcPr>
          <w:p>
            <w:pPr>
              <w:spacing w:after="0"/>
            </w:pPr>
            <w:r/>
            <w:r>
              <w:rPr>
                <w:b w:val="0"/>
                <w:sz w:val="18"/>
              </w:rPr>
              <w:t>Kaveri System</w:t>
            </w:r>
          </w:p>
        </w:tc>
        <w:tc>
          <w:tcPr>
            <w:tcW w:type="dxa" w:w="3312"/>
          </w:tcPr>
          <w:p>
            <w:pPr>
              <w:spacing w:after="0"/>
            </w:pPr>
            <w:r/>
            <w:r>
              <w:rPr>
                <w:b w:val="0"/>
                <w:sz w:val="18"/>
              </w:rPr>
              <w:t>Sec. 45-A(1)</w:t>
            </w:r>
          </w:p>
        </w:tc>
      </w:tr>
      <w:tr>
        <w:tc>
          <w:tcPr>
            <w:tcW w:type="dxa" w:w="576"/>
          </w:tcPr>
          <w:p>
            <w:pPr>
              <w:spacing w:after="0"/>
            </w:pPr>
            <w:r/>
            <w:r>
              <w:rPr>
                <w:b w:val="0"/>
                <w:sz w:val="18"/>
              </w:rPr>
              <w:t>3</w:t>
            </w:r>
          </w:p>
        </w:tc>
        <w:tc>
          <w:tcPr>
            <w:tcW w:type="dxa" w:w="3744"/>
          </w:tcPr>
          <w:p>
            <w:pPr>
              <w:spacing w:after="0"/>
            </w:pPr>
            <w:r/>
            <w:r>
              <w:rPr>
                <w:b w:val="0"/>
                <w:sz w:val="18"/>
              </w:rPr>
              <w:t>Decision: pay duty on the SR's estimated value?</w:t>
            </w:r>
          </w:p>
        </w:tc>
        <w:tc>
          <w:tcPr>
            <w:tcW w:type="dxa" w:w="1728"/>
          </w:tcPr>
          <w:p>
            <w:pPr>
              <w:spacing w:after="0"/>
            </w:pPr>
            <w:r/>
            <w:r>
              <w:rPr>
                <w:b w:val="0"/>
                <w:sz w:val="18"/>
              </w:rPr>
              <w:t>Party</w:t>
            </w:r>
          </w:p>
        </w:tc>
        <w:tc>
          <w:tcPr>
            <w:tcW w:type="dxa" w:w="3312"/>
          </w:tcPr>
          <w:p>
            <w:pPr>
              <w:spacing w:after="0"/>
            </w:pPr>
            <w:r/>
            <w:r>
              <w:rPr>
                <w:b w:val="0"/>
                <w:sz w:val="18"/>
              </w:rPr>
              <w:t>Yes → collect extra duty; continue registration (end)</w:t>
            </w:r>
          </w:p>
        </w:tc>
      </w:tr>
      <w:tr>
        <w:tc>
          <w:tcPr>
            <w:tcW w:type="dxa" w:w="576"/>
          </w:tcPr>
          <w:p>
            <w:pPr>
              <w:spacing w:after="0"/>
            </w:pPr>
            <w:r/>
            <w:r>
              <w:rPr>
                <w:b w:val="0"/>
                <w:sz w:val="18"/>
              </w:rPr>
              <w:t>4</w:t>
            </w:r>
          </w:p>
        </w:tc>
        <w:tc>
          <w:tcPr>
            <w:tcW w:type="dxa" w:w="3744"/>
          </w:tcPr>
          <w:p>
            <w:pPr>
              <w:spacing w:after="0"/>
            </w:pPr>
            <w:r/>
            <w:r>
              <w:rPr>
                <w:b w:val="0"/>
                <w:sz w:val="18"/>
              </w:rPr>
              <w:t>Keep registration pending; prepare Form I and refer to the DC with a copy of the instrument</w:t>
            </w:r>
          </w:p>
        </w:tc>
        <w:tc>
          <w:tcPr>
            <w:tcW w:type="dxa" w:w="1728"/>
          </w:tcPr>
          <w:p>
            <w:pPr>
              <w:spacing w:after="0"/>
            </w:pPr>
            <w:r/>
            <w:r>
              <w:rPr>
                <w:b w:val="0"/>
                <w:sz w:val="18"/>
              </w:rPr>
              <w:t>Sub-Registrar</w:t>
            </w:r>
          </w:p>
        </w:tc>
        <w:tc>
          <w:tcPr>
            <w:tcW w:type="dxa" w:w="3312"/>
          </w:tcPr>
          <w:p>
            <w:pPr>
              <w:spacing w:after="0"/>
            </w:pPr>
            <w:r/>
            <w:r>
              <w:rPr>
                <w:b w:val="0"/>
                <w:sz w:val="18"/>
              </w:rPr>
              <w:t>Sec. 45-A(1); 1977 Rules</w:t>
            </w:r>
          </w:p>
        </w:tc>
      </w:tr>
      <w:tr>
        <w:tc>
          <w:tcPr>
            <w:tcW w:type="dxa" w:w="576"/>
          </w:tcPr>
          <w:p>
            <w:pPr>
              <w:spacing w:after="0"/>
            </w:pPr>
            <w:r/>
            <w:r>
              <w:rPr>
                <w:b w:val="0"/>
                <w:sz w:val="18"/>
              </w:rPr>
              <w:t>5</w:t>
            </w:r>
          </w:p>
        </w:tc>
        <w:tc>
          <w:tcPr>
            <w:tcW w:type="dxa" w:w="3744"/>
          </w:tcPr>
          <w:p>
            <w:pPr>
              <w:spacing w:after="0"/>
            </w:pPr>
            <w:r/>
            <w:r>
              <w:rPr>
                <w:b w:val="0"/>
                <w:sz w:val="18"/>
              </w:rPr>
              <w:t>Issue notice, give the parties a hearing and hold the inquiry</w:t>
            </w:r>
          </w:p>
        </w:tc>
        <w:tc>
          <w:tcPr>
            <w:tcW w:type="dxa" w:w="1728"/>
          </w:tcPr>
          <w:p>
            <w:pPr>
              <w:spacing w:after="0"/>
            </w:pPr>
            <w:r/>
            <w:r>
              <w:rPr>
                <w:b w:val="0"/>
                <w:sz w:val="18"/>
              </w:rPr>
              <w:t>Deputy Commissioner</w:t>
            </w:r>
          </w:p>
        </w:tc>
        <w:tc>
          <w:tcPr>
            <w:tcW w:type="dxa" w:w="3312"/>
          </w:tcPr>
          <w:p>
            <w:pPr>
              <w:spacing w:after="0"/>
            </w:pPr>
            <w:r/>
            <w:r>
              <w:rPr>
                <w:b w:val="0"/>
                <w:sz w:val="18"/>
              </w:rPr>
              <w:t>Sec. 45-A(2); 1977 Rules. Suo motu cases (Sec. 45-A(3)) enter here</w:t>
            </w:r>
          </w:p>
        </w:tc>
      </w:tr>
      <w:tr>
        <w:tc>
          <w:tcPr>
            <w:tcW w:type="dxa" w:w="576"/>
          </w:tcPr>
          <w:p>
            <w:pPr>
              <w:spacing w:after="0"/>
            </w:pPr>
            <w:r/>
            <w:r>
              <w:rPr>
                <w:b w:val="0"/>
                <w:sz w:val="18"/>
              </w:rPr>
              <w:t>6</w:t>
            </w:r>
          </w:p>
        </w:tc>
        <w:tc>
          <w:tcPr>
            <w:tcW w:type="dxa" w:w="3744"/>
          </w:tcPr>
          <w:p>
            <w:pPr>
              <w:spacing w:after="0"/>
            </w:pPr>
            <w:r/>
            <w:r>
              <w:rPr>
                <w:b w:val="0"/>
                <w:sz w:val="18"/>
              </w:rPr>
              <w:t>Order market value and duty payable (as far as may be within 90 days)</w:t>
            </w:r>
          </w:p>
        </w:tc>
        <w:tc>
          <w:tcPr>
            <w:tcW w:type="dxa" w:w="1728"/>
          </w:tcPr>
          <w:p>
            <w:pPr>
              <w:spacing w:after="0"/>
            </w:pPr>
            <w:r/>
            <w:r>
              <w:rPr>
                <w:b w:val="0"/>
                <w:sz w:val="18"/>
              </w:rPr>
              <w:t>Deputy Commissioner</w:t>
            </w:r>
          </w:p>
        </w:tc>
        <w:tc>
          <w:tcPr>
            <w:tcW w:type="dxa" w:w="3312"/>
          </w:tcPr>
          <w:p>
            <w:pPr>
              <w:spacing w:after="0"/>
            </w:pPr>
            <w:r/>
            <w:r>
              <w:rPr>
                <w:b w:val="0"/>
                <w:sz w:val="18"/>
              </w:rPr>
              <w:t>Sec. 45-A(2)</w:t>
            </w:r>
          </w:p>
        </w:tc>
      </w:tr>
      <w:tr>
        <w:tc>
          <w:tcPr>
            <w:tcW w:type="dxa" w:w="576"/>
          </w:tcPr>
          <w:p>
            <w:pPr>
              <w:spacing w:after="0"/>
            </w:pPr>
            <w:r/>
            <w:r>
              <w:rPr>
                <w:b w:val="0"/>
                <w:sz w:val="18"/>
              </w:rPr>
              <w:t>7</w:t>
            </w:r>
          </w:p>
        </w:tc>
        <w:tc>
          <w:tcPr>
            <w:tcW w:type="dxa" w:w="3744"/>
          </w:tcPr>
          <w:p>
            <w:pPr>
              <w:spacing w:after="0"/>
            </w:pPr>
            <w:r/>
            <w:r>
              <w:rPr>
                <w:b w:val="0"/>
                <w:sz w:val="18"/>
              </w:rPr>
              <w:t>Send order to the party and a copy to the SR; lock adjudicated value as the market value</w:t>
            </w:r>
          </w:p>
        </w:tc>
        <w:tc>
          <w:tcPr>
            <w:tcW w:type="dxa" w:w="1728"/>
          </w:tcPr>
          <w:p>
            <w:pPr>
              <w:spacing w:after="0"/>
            </w:pPr>
            <w:r/>
            <w:r>
              <w:rPr>
                <w:b w:val="0"/>
                <w:sz w:val="18"/>
              </w:rPr>
              <w:t>Kaveri System</w:t>
            </w:r>
          </w:p>
        </w:tc>
        <w:tc>
          <w:tcPr>
            <w:tcW w:type="dxa" w:w="3312"/>
          </w:tcPr>
          <w:p>
            <w:pPr>
              <w:spacing w:after="0"/>
            </w:pPr>
            <w:r/>
            <w:r>
              <w:rPr>
                <w:b w:val="0"/>
                <w:sz w:val="18"/>
              </w:rPr>
              <w:t>Sec. 45-A(4)</w:t>
            </w:r>
          </w:p>
        </w:tc>
      </w:tr>
      <w:tr>
        <w:tc>
          <w:tcPr>
            <w:tcW w:type="dxa" w:w="576"/>
          </w:tcPr>
          <w:p>
            <w:pPr>
              <w:spacing w:after="0"/>
            </w:pPr>
            <w:r/>
            <w:r>
              <w:rPr>
                <w:b w:val="0"/>
                <w:sz w:val="18"/>
              </w:rPr>
              <w:t>8</w:t>
            </w:r>
          </w:p>
        </w:tc>
        <w:tc>
          <w:tcPr>
            <w:tcW w:type="dxa" w:w="3744"/>
          </w:tcPr>
          <w:p>
            <w:pPr>
              <w:spacing w:after="0"/>
            </w:pPr>
            <w:r/>
            <w:r>
              <w:rPr>
                <w:b w:val="0"/>
                <w:sz w:val="18"/>
              </w:rPr>
              <w:t>Decision: appeal against the order?</w:t>
            </w:r>
          </w:p>
        </w:tc>
        <w:tc>
          <w:tcPr>
            <w:tcW w:type="dxa" w:w="1728"/>
          </w:tcPr>
          <w:p>
            <w:pPr>
              <w:spacing w:after="0"/>
            </w:pPr>
            <w:r/>
            <w:r>
              <w:rPr>
                <w:b w:val="0"/>
                <w:sz w:val="18"/>
              </w:rPr>
              <w:t>Party</w:t>
            </w:r>
          </w:p>
        </w:tc>
        <w:tc>
          <w:tcPr>
            <w:tcW w:type="dxa" w:w="3312"/>
          </w:tcPr>
          <w:p>
            <w:pPr>
              <w:spacing w:after="0"/>
            </w:pPr>
            <w:r/>
            <w:r>
              <w:rPr>
                <w:b w:val="0"/>
                <w:sz w:val="18"/>
              </w:rPr>
              <w:t>No → step 11</w:t>
            </w:r>
          </w:p>
        </w:tc>
      </w:tr>
      <w:tr>
        <w:tc>
          <w:tcPr>
            <w:tcW w:type="dxa" w:w="576"/>
          </w:tcPr>
          <w:p>
            <w:pPr>
              <w:spacing w:after="0"/>
            </w:pPr>
            <w:r/>
            <w:r>
              <w:rPr>
                <w:b w:val="0"/>
                <w:sz w:val="18"/>
              </w:rPr>
              <w:t>9</w:t>
            </w:r>
          </w:p>
        </w:tc>
        <w:tc>
          <w:tcPr>
            <w:tcW w:type="dxa" w:w="3744"/>
          </w:tcPr>
          <w:p>
            <w:pPr>
              <w:spacing w:after="0"/>
            </w:pPr>
            <w:r/>
            <w:r>
              <w:rPr>
                <w:b w:val="0"/>
                <w:sz w:val="18"/>
              </w:rPr>
              <w:t>Deposit 50% of the duty difference and file the appeal</w:t>
            </w:r>
          </w:p>
        </w:tc>
        <w:tc>
          <w:tcPr>
            <w:tcW w:type="dxa" w:w="1728"/>
          </w:tcPr>
          <w:p>
            <w:pPr>
              <w:spacing w:after="0"/>
            </w:pPr>
            <w:r/>
            <w:r>
              <w:rPr>
                <w:b w:val="0"/>
                <w:sz w:val="18"/>
              </w:rPr>
              <w:t>Party</w:t>
            </w:r>
          </w:p>
        </w:tc>
        <w:tc>
          <w:tcPr>
            <w:tcW w:type="dxa" w:w="3312"/>
          </w:tcPr>
          <w:p>
            <w:pPr>
              <w:spacing w:after="0"/>
            </w:pPr>
            <w:r/>
            <w:r>
              <w:rPr>
                <w:b w:val="0"/>
                <w:sz w:val="18"/>
              </w:rPr>
              <w:t>Sec. 45-A(5) proviso</w:t>
            </w:r>
          </w:p>
        </w:tc>
      </w:tr>
      <w:tr>
        <w:tc>
          <w:tcPr>
            <w:tcW w:type="dxa" w:w="576"/>
          </w:tcPr>
          <w:p>
            <w:pPr>
              <w:spacing w:after="0"/>
            </w:pPr>
            <w:r/>
            <w:r>
              <w:rPr>
                <w:b w:val="0"/>
                <w:sz w:val="18"/>
              </w:rPr>
              <w:t>10</w:t>
            </w:r>
          </w:p>
        </w:tc>
        <w:tc>
          <w:tcPr>
            <w:tcW w:type="dxa" w:w="3744"/>
          </w:tcPr>
          <w:p>
            <w:pPr>
              <w:spacing w:after="0"/>
            </w:pPr>
            <w:r/>
            <w:r>
              <w:rPr>
                <w:b w:val="0"/>
                <w:sz w:val="18"/>
              </w:rPr>
              <w:t>Hear and decide the appeal (value decided, or remand: DC determines value again)</w:t>
            </w:r>
          </w:p>
        </w:tc>
        <w:tc>
          <w:tcPr>
            <w:tcW w:type="dxa" w:w="1728"/>
          </w:tcPr>
          <w:p>
            <w:pPr>
              <w:spacing w:after="0"/>
            </w:pPr>
            <w:r/>
            <w:r>
              <w:rPr>
                <w:b w:val="0"/>
                <w:sz w:val="18"/>
              </w:rPr>
              <w:t>Regional Commissioner</w:t>
            </w:r>
          </w:p>
        </w:tc>
        <w:tc>
          <w:tcPr>
            <w:tcW w:type="dxa" w:w="3312"/>
          </w:tcPr>
          <w:p>
            <w:pPr>
              <w:spacing w:after="0"/>
            </w:pPr>
            <w:r/>
            <w:r>
              <w:rPr>
                <w:b w:val="0"/>
                <w:sz w:val="18"/>
              </w:rPr>
              <w:t>Sec. 45-A(5); remand returns to step 6</w:t>
            </w:r>
          </w:p>
        </w:tc>
      </w:tr>
      <w:tr>
        <w:tc>
          <w:tcPr>
            <w:tcW w:type="dxa" w:w="576"/>
          </w:tcPr>
          <w:p>
            <w:pPr>
              <w:spacing w:after="0"/>
            </w:pPr>
            <w:r/>
            <w:r>
              <w:rPr>
                <w:b w:val="0"/>
                <w:sz w:val="18"/>
              </w:rPr>
              <w:t>11</w:t>
            </w:r>
          </w:p>
        </w:tc>
        <w:tc>
          <w:tcPr>
            <w:tcW w:type="dxa" w:w="3744"/>
          </w:tcPr>
          <w:p>
            <w:pPr>
              <w:spacing w:after="0"/>
            </w:pPr>
            <w:r/>
            <w:r>
              <w:rPr>
                <w:b w:val="0"/>
                <w:sz w:val="18"/>
              </w:rPr>
              <w:t>Calculate duty difference + 12% p.a. interest if paid late; refund deposit if duty sufficient</w:t>
            </w:r>
          </w:p>
        </w:tc>
        <w:tc>
          <w:tcPr>
            <w:tcW w:type="dxa" w:w="1728"/>
          </w:tcPr>
          <w:p>
            <w:pPr>
              <w:spacing w:after="0"/>
            </w:pPr>
            <w:r/>
            <w:r>
              <w:rPr>
                <w:b w:val="0"/>
                <w:sz w:val="18"/>
              </w:rPr>
              <w:t>Kaveri System</w:t>
            </w:r>
          </w:p>
        </w:tc>
        <w:tc>
          <w:tcPr>
            <w:tcW w:type="dxa" w:w="3312"/>
          </w:tcPr>
          <w:p>
            <w:pPr>
              <w:spacing w:after="0"/>
            </w:pPr>
            <w:r/>
            <w:r>
              <w:rPr>
                <w:b w:val="0"/>
                <w:sz w:val="18"/>
              </w:rPr>
              <w:t>Sec. 45-A(2), (5); interest cut-off dates</w:t>
            </w:r>
          </w:p>
        </w:tc>
      </w:tr>
      <w:tr>
        <w:tc>
          <w:tcPr>
            <w:tcW w:type="dxa" w:w="576"/>
          </w:tcPr>
          <w:p>
            <w:pPr>
              <w:spacing w:after="0"/>
            </w:pPr>
            <w:r/>
            <w:r>
              <w:rPr>
                <w:b w:val="0"/>
                <w:sz w:val="18"/>
              </w:rPr>
              <w:t>12</w:t>
            </w:r>
          </w:p>
        </w:tc>
        <w:tc>
          <w:tcPr>
            <w:tcW w:type="dxa" w:w="3744"/>
          </w:tcPr>
          <w:p>
            <w:pPr>
              <w:spacing w:after="0"/>
            </w:pPr>
            <w:r/>
            <w:r>
              <w:rPr>
                <w:b w:val="0"/>
                <w:sz w:val="18"/>
              </w:rPr>
              <w:t>Pay the duty difference (and interest, if any)</w:t>
            </w:r>
          </w:p>
        </w:tc>
        <w:tc>
          <w:tcPr>
            <w:tcW w:type="dxa" w:w="1728"/>
          </w:tcPr>
          <w:p>
            <w:pPr>
              <w:spacing w:after="0"/>
            </w:pPr>
            <w:r/>
            <w:r>
              <w:rPr>
                <w:b w:val="0"/>
                <w:sz w:val="18"/>
              </w:rPr>
              <w:t>Party</w:t>
            </w:r>
          </w:p>
        </w:tc>
        <w:tc>
          <w:tcPr>
            <w:tcW w:type="dxa" w:w="3312"/>
          </w:tcPr>
          <w:p>
            <w:pPr>
              <w:spacing w:after="0"/>
            </w:pPr>
            <w:r/>
            <w:r>
              <w:rPr>
                <w:b w:val="0"/>
                <w:sz w:val="18"/>
              </w:rPr>
              <w:t>Payment gateway</w:t>
            </w:r>
          </w:p>
        </w:tc>
      </w:tr>
      <w:tr>
        <w:tc>
          <w:tcPr>
            <w:tcW w:type="dxa" w:w="576"/>
          </w:tcPr>
          <w:p>
            <w:pPr>
              <w:spacing w:after="0"/>
            </w:pPr>
            <w:r/>
            <w:r>
              <w:rPr>
                <w:b w:val="0"/>
                <w:sz w:val="18"/>
              </w:rPr>
              <w:t>13</w:t>
            </w:r>
          </w:p>
        </w:tc>
        <w:tc>
          <w:tcPr>
            <w:tcW w:type="dxa" w:w="3744"/>
          </w:tcPr>
          <w:p>
            <w:pPr>
              <w:spacing w:after="0"/>
            </w:pPr>
            <w:r/>
            <w:r>
              <w:rPr>
                <w:b w:val="0"/>
                <w:sz w:val="18"/>
              </w:rPr>
              <w:t>Release the pending document and complete registration (or close the suo motu case)</w:t>
            </w:r>
          </w:p>
        </w:tc>
        <w:tc>
          <w:tcPr>
            <w:tcW w:type="dxa" w:w="1728"/>
          </w:tcPr>
          <w:p>
            <w:pPr>
              <w:spacing w:after="0"/>
            </w:pPr>
            <w:r/>
            <w:r>
              <w:rPr>
                <w:b w:val="0"/>
                <w:sz w:val="18"/>
              </w:rPr>
              <w:t>Sub-Registrar</w:t>
            </w:r>
          </w:p>
        </w:tc>
        <w:tc>
          <w:tcPr>
            <w:tcW w:type="dxa" w:w="3312"/>
          </w:tcPr>
          <w:p>
            <w:pPr>
              <w:spacing w:after="0"/>
            </w:pPr>
            <w:r/>
            <w:r>
              <w:rPr>
                <w:b w:val="0"/>
                <w:sz w:val="18"/>
              </w:rPr>
              <w:t>End of Process B</w:t>
            </w:r>
          </w:p>
        </w:tc>
      </w:tr>
    </w:tbl>
    <w:p/>
    <w:p>
      <w:pPr/>
      <w:r>
        <w:t>Key characteristics: only Sec. 45-A(1) instruments; SR estimate with reasons and electronic communication; pay-now option; Form I auto-filled from the valuation record; electronic reference to the DC with 90-day ageing; suo motu window of two years; DC order with digital signature and automatic copy to SR; adjudicated value locked and reflected in summary and payment; appeal admitted only on 50% deposit; interest and refund computed by rule; pending document released only after payment.</w:t>
      </w:r>
    </w:p>
    <w:p>
      <w:pPr>
        <w:pStyle w:val="Heading4"/>
      </w:pPr>
      <w:r>
        <w:t>7.2.3 Undervaluation case status model</w:t>
      </w:r>
    </w:p>
    <w:tbl>
      <w:tblPr>
        <w:tblStyle w:val="TableGrid"/>
        <w:tblW w:type="auto" w:w="0"/>
        <w:tblLook w:firstColumn="1" w:firstRow="1" w:lastColumn="0" w:lastRow="0" w:noHBand="0" w:noVBand="1" w:val="04A0"/>
      </w:tblPr>
      <w:tblGrid>
        <w:gridCol w:w="2556"/>
        <w:gridCol w:w="2556"/>
        <w:gridCol w:w="2556"/>
        <w:gridCol w:w="2556"/>
      </w:tblGrid>
      <w:tr>
        <w:tc>
          <w:tcPr>
            <w:tcW w:type="dxa" w:w="2160"/>
            <w:shd w:val="clear" w:color="auto" w:fill="D9E2F3"/>
          </w:tcPr>
          <w:p>
            <w:pPr>
              <w:spacing w:after="0"/>
            </w:pPr>
            <w:r/>
            <w:r>
              <w:rPr>
                <w:b/>
                <w:sz w:val="18"/>
              </w:rPr>
              <w:t>Status</w:t>
            </w:r>
          </w:p>
        </w:tc>
        <w:tc>
          <w:tcPr>
            <w:tcW w:type="dxa" w:w="4032"/>
            <w:shd w:val="clear" w:color="auto" w:fill="D9E2F3"/>
          </w:tcPr>
          <w:p>
            <w:pPr>
              <w:spacing w:after="0"/>
            </w:pPr>
            <w:r/>
            <w:r>
              <w:rPr>
                <w:b/>
                <w:sz w:val="18"/>
              </w:rPr>
              <w:t>Description</w:t>
            </w:r>
          </w:p>
        </w:tc>
        <w:tc>
          <w:tcPr>
            <w:tcW w:type="dxa" w:w="1584"/>
            <w:shd w:val="clear" w:color="auto" w:fill="D9E2F3"/>
          </w:tcPr>
          <w:p>
            <w:pPr>
              <w:spacing w:after="0"/>
            </w:pPr>
            <w:r/>
            <w:r>
              <w:rPr>
                <w:b/>
                <w:sz w:val="18"/>
              </w:rPr>
              <w:t>Actor</w:t>
            </w:r>
          </w:p>
        </w:tc>
        <w:tc>
          <w:tcPr>
            <w:tcW w:type="dxa" w:w="1584"/>
            <w:shd w:val="clear" w:color="auto" w:fill="D9E2F3"/>
          </w:tcPr>
          <w:p>
            <w:pPr>
              <w:spacing w:after="0"/>
            </w:pPr>
            <w:r/>
            <w:r>
              <w:rPr>
                <w:b/>
                <w:sz w:val="18"/>
              </w:rPr>
              <w:t>Next states</w:t>
            </w:r>
          </w:p>
        </w:tc>
      </w:tr>
      <w:tr>
        <w:tc>
          <w:tcPr>
            <w:tcW w:type="dxa" w:w="2160"/>
          </w:tcPr>
          <w:p>
            <w:pPr>
              <w:spacing w:after="0"/>
            </w:pPr>
            <w:r/>
            <w:r>
              <w:rPr>
                <w:b w:val="0"/>
                <w:sz w:val="18"/>
              </w:rPr>
              <w:t>SR estimate recorded</w:t>
            </w:r>
          </w:p>
        </w:tc>
        <w:tc>
          <w:tcPr>
            <w:tcW w:type="dxa" w:w="4032"/>
          </w:tcPr>
          <w:p>
            <w:pPr>
              <w:spacing w:after="0"/>
            </w:pPr>
            <w:r/>
            <w:r>
              <w:rPr>
                <w:b w:val="0"/>
                <w:sz w:val="18"/>
              </w:rPr>
              <w:t>Estimated market value and reasons recorded</w:t>
            </w:r>
          </w:p>
        </w:tc>
        <w:tc>
          <w:tcPr>
            <w:tcW w:type="dxa" w:w="1584"/>
          </w:tcPr>
          <w:p>
            <w:pPr>
              <w:spacing w:after="0"/>
            </w:pPr>
            <w:r/>
            <w:r>
              <w:rPr>
                <w:b w:val="0"/>
                <w:sz w:val="18"/>
              </w:rPr>
              <w:t>SR</w:t>
            </w:r>
          </w:p>
        </w:tc>
        <w:tc>
          <w:tcPr>
            <w:tcW w:type="dxa" w:w="1584"/>
          </w:tcPr>
          <w:p>
            <w:pPr>
              <w:spacing w:after="0"/>
            </w:pPr>
            <w:r/>
            <w:r>
              <w:rPr>
                <w:b w:val="0"/>
                <w:sz w:val="18"/>
              </w:rPr>
              <w:t>Communicated to party</w:t>
            </w:r>
          </w:p>
        </w:tc>
      </w:tr>
      <w:tr>
        <w:tc>
          <w:tcPr>
            <w:tcW w:type="dxa" w:w="2160"/>
          </w:tcPr>
          <w:p>
            <w:pPr>
              <w:spacing w:after="0"/>
            </w:pPr>
            <w:r/>
            <w:r>
              <w:rPr>
                <w:b w:val="0"/>
                <w:sz w:val="18"/>
              </w:rPr>
              <w:t>Communicated to party</w:t>
            </w:r>
          </w:p>
        </w:tc>
        <w:tc>
          <w:tcPr>
            <w:tcW w:type="dxa" w:w="4032"/>
          </w:tcPr>
          <w:p>
            <w:pPr>
              <w:spacing w:after="0"/>
            </w:pPr>
            <w:r/>
            <w:r>
              <w:rPr>
                <w:b w:val="0"/>
                <w:sz w:val="18"/>
              </w:rPr>
              <w:t>Estimated value and extra duty sent</w:t>
            </w:r>
          </w:p>
        </w:tc>
        <w:tc>
          <w:tcPr>
            <w:tcW w:type="dxa" w:w="1584"/>
          </w:tcPr>
          <w:p>
            <w:pPr>
              <w:spacing w:after="0"/>
            </w:pPr>
            <w:r/>
            <w:r>
              <w:rPr>
                <w:b w:val="0"/>
                <w:sz w:val="18"/>
              </w:rPr>
              <w:t>System</w:t>
            </w:r>
          </w:p>
        </w:tc>
        <w:tc>
          <w:tcPr>
            <w:tcW w:type="dxa" w:w="1584"/>
          </w:tcPr>
          <w:p>
            <w:pPr>
              <w:spacing w:after="0"/>
            </w:pPr>
            <w:r/>
            <w:r>
              <w:rPr>
                <w:b w:val="0"/>
                <w:sz w:val="18"/>
              </w:rPr>
              <w:t>Extra duty paid / Referred to DC</w:t>
            </w:r>
          </w:p>
        </w:tc>
      </w:tr>
      <w:tr>
        <w:tc>
          <w:tcPr>
            <w:tcW w:type="dxa" w:w="2160"/>
          </w:tcPr>
          <w:p>
            <w:pPr>
              <w:spacing w:after="0"/>
            </w:pPr>
            <w:r/>
            <w:r>
              <w:rPr>
                <w:b w:val="0"/>
                <w:sz w:val="18"/>
              </w:rPr>
              <w:t>Extra duty paid</w:t>
            </w:r>
          </w:p>
        </w:tc>
        <w:tc>
          <w:tcPr>
            <w:tcW w:type="dxa" w:w="4032"/>
          </w:tcPr>
          <w:p>
            <w:pPr>
              <w:spacing w:after="0"/>
            </w:pPr>
            <w:r/>
            <w:r>
              <w:rPr>
                <w:b w:val="0"/>
                <w:sz w:val="18"/>
              </w:rPr>
              <w:t>Party paid duty on SR estimate</w:t>
            </w:r>
          </w:p>
        </w:tc>
        <w:tc>
          <w:tcPr>
            <w:tcW w:type="dxa" w:w="1584"/>
          </w:tcPr>
          <w:p>
            <w:pPr>
              <w:spacing w:after="0"/>
            </w:pPr>
            <w:r/>
            <w:r>
              <w:rPr>
                <w:b w:val="0"/>
                <w:sz w:val="18"/>
              </w:rPr>
              <w:t>Party</w:t>
            </w:r>
          </w:p>
        </w:tc>
        <w:tc>
          <w:tcPr>
            <w:tcW w:type="dxa" w:w="1584"/>
          </w:tcPr>
          <w:p>
            <w:pPr>
              <w:spacing w:after="0"/>
            </w:pPr>
            <w:r/>
            <w:r>
              <w:rPr>
                <w:b w:val="0"/>
                <w:sz w:val="18"/>
              </w:rPr>
              <w:t>Closed — registration continues</w:t>
            </w:r>
          </w:p>
        </w:tc>
      </w:tr>
      <w:tr>
        <w:tc>
          <w:tcPr>
            <w:tcW w:type="dxa" w:w="2160"/>
          </w:tcPr>
          <w:p>
            <w:pPr>
              <w:spacing w:after="0"/>
            </w:pPr>
            <w:r/>
            <w:r>
              <w:rPr>
                <w:b w:val="0"/>
                <w:sz w:val="18"/>
              </w:rPr>
              <w:t>Referred to DC</w:t>
            </w:r>
          </w:p>
        </w:tc>
        <w:tc>
          <w:tcPr>
            <w:tcW w:type="dxa" w:w="4032"/>
          </w:tcPr>
          <w:p>
            <w:pPr>
              <w:spacing w:after="0"/>
            </w:pPr>
            <w:r/>
            <w:r>
              <w:rPr>
                <w:b w:val="0"/>
                <w:sz w:val="18"/>
              </w:rPr>
              <w:t>Form I and instrument copy sent; registration pending</w:t>
            </w:r>
          </w:p>
        </w:tc>
        <w:tc>
          <w:tcPr>
            <w:tcW w:type="dxa" w:w="1584"/>
          </w:tcPr>
          <w:p>
            <w:pPr>
              <w:spacing w:after="0"/>
            </w:pPr>
            <w:r/>
            <w:r>
              <w:rPr>
                <w:b w:val="0"/>
                <w:sz w:val="18"/>
              </w:rPr>
              <w:t>SR</w:t>
            </w:r>
          </w:p>
        </w:tc>
        <w:tc>
          <w:tcPr>
            <w:tcW w:type="dxa" w:w="1584"/>
          </w:tcPr>
          <w:p>
            <w:pPr>
              <w:spacing w:after="0"/>
            </w:pPr>
            <w:r/>
            <w:r>
              <w:rPr>
                <w:b w:val="0"/>
                <w:sz w:val="18"/>
              </w:rPr>
              <w:t>Hearing scheduled</w:t>
            </w:r>
          </w:p>
        </w:tc>
      </w:tr>
      <w:tr>
        <w:tc>
          <w:tcPr>
            <w:tcW w:type="dxa" w:w="2160"/>
          </w:tcPr>
          <w:p>
            <w:pPr>
              <w:spacing w:after="0"/>
            </w:pPr>
            <w:r/>
            <w:r>
              <w:rPr>
                <w:b w:val="0"/>
                <w:sz w:val="18"/>
              </w:rPr>
              <w:t>Suo motu initiated</w:t>
            </w:r>
          </w:p>
        </w:tc>
        <w:tc>
          <w:tcPr>
            <w:tcW w:type="dxa" w:w="4032"/>
          </w:tcPr>
          <w:p>
            <w:pPr>
              <w:spacing w:after="0"/>
            </w:pPr>
            <w:r/>
            <w:r>
              <w:rPr>
                <w:b w:val="0"/>
                <w:sz w:val="18"/>
              </w:rPr>
              <w:t>DC called for a registered instrument (≤ 2 years)</w:t>
            </w:r>
          </w:p>
        </w:tc>
        <w:tc>
          <w:tcPr>
            <w:tcW w:type="dxa" w:w="1584"/>
          </w:tcPr>
          <w:p>
            <w:pPr>
              <w:spacing w:after="0"/>
            </w:pPr>
            <w:r/>
            <w:r>
              <w:rPr>
                <w:b w:val="0"/>
                <w:sz w:val="18"/>
              </w:rPr>
              <w:t>DC</w:t>
            </w:r>
          </w:p>
        </w:tc>
        <w:tc>
          <w:tcPr>
            <w:tcW w:type="dxa" w:w="1584"/>
          </w:tcPr>
          <w:p>
            <w:pPr>
              <w:spacing w:after="0"/>
            </w:pPr>
            <w:r/>
            <w:r>
              <w:rPr>
                <w:b w:val="0"/>
                <w:sz w:val="18"/>
              </w:rPr>
              <w:t>Hearing scheduled</w:t>
            </w:r>
          </w:p>
        </w:tc>
      </w:tr>
      <w:tr>
        <w:tc>
          <w:tcPr>
            <w:tcW w:type="dxa" w:w="2160"/>
          </w:tcPr>
          <w:p>
            <w:pPr>
              <w:spacing w:after="0"/>
            </w:pPr>
            <w:r/>
            <w:r>
              <w:rPr>
                <w:b w:val="0"/>
                <w:sz w:val="18"/>
              </w:rPr>
              <w:t>Hearing scheduled</w:t>
            </w:r>
          </w:p>
        </w:tc>
        <w:tc>
          <w:tcPr>
            <w:tcW w:type="dxa" w:w="4032"/>
          </w:tcPr>
          <w:p>
            <w:pPr>
              <w:spacing w:after="0"/>
            </w:pPr>
            <w:r/>
            <w:r>
              <w:rPr>
                <w:b w:val="0"/>
                <w:sz w:val="18"/>
              </w:rPr>
              <w:t>Notice issued to parties</w:t>
            </w:r>
          </w:p>
        </w:tc>
        <w:tc>
          <w:tcPr>
            <w:tcW w:type="dxa" w:w="1584"/>
          </w:tcPr>
          <w:p>
            <w:pPr>
              <w:spacing w:after="0"/>
            </w:pPr>
            <w:r/>
            <w:r>
              <w:rPr>
                <w:b w:val="0"/>
                <w:sz w:val="18"/>
              </w:rPr>
              <w:t>DC</w:t>
            </w:r>
          </w:p>
        </w:tc>
        <w:tc>
          <w:tcPr>
            <w:tcW w:type="dxa" w:w="1584"/>
          </w:tcPr>
          <w:p>
            <w:pPr>
              <w:spacing w:after="0"/>
            </w:pPr>
            <w:r/>
            <w:r>
              <w:rPr>
                <w:b w:val="0"/>
                <w:sz w:val="18"/>
              </w:rPr>
              <w:t>Under inquiry</w:t>
            </w:r>
          </w:p>
        </w:tc>
      </w:tr>
      <w:tr>
        <w:tc>
          <w:tcPr>
            <w:tcW w:type="dxa" w:w="2160"/>
          </w:tcPr>
          <w:p>
            <w:pPr>
              <w:spacing w:after="0"/>
            </w:pPr>
            <w:r/>
            <w:r>
              <w:rPr>
                <w:b w:val="0"/>
                <w:sz w:val="18"/>
              </w:rPr>
              <w:t>Under inquiry</w:t>
            </w:r>
          </w:p>
        </w:tc>
        <w:tc>
          <w:tcPr>
            <w:tcW w:type="dxa" w:w="4032"/>
          </w:tcPr>
          <w:p>
            <w:pPr>
              <w:spacing w:after="0"/>
            </w:pPr>
            <w:r/>
            <w:r>
              <w:rPr>
                <w:b w:val="0"/>
                <w:sz w:val="18"/>
              </w:rPr>
              <w:t>Hearing / inquiry in progress; 90-day ageing tracked</w:t>
            </w:r>
          </w:p>
        </w:tc>
        <w:tc>
          <w:tcPr>
            <w:tcW w:type="dxa" w:w="1584"/>
          </w:tcPr>
          <w:p>
            <w:pPr>
              <w:spacing w:after="0"/>
            </w:pPr>
            <w:r/>
            <w:r>
              <w:rPr>
                <w:b w:val="0"/>
                <w:sz w:val="18"/>
              </w:rPr>
              <w:t>DC</w:t>
            </w:r>
          </w:p>
        </w:tc>
        <w:tc>
          <w:tcPr>
            <w:tcW w:type="dxa" w:w="1584"/>
          </w:tcPr>
          <w:p>
            <w:pPr>
              <w:spacing w:after="0"/>
            </w:pPr>
            <w:r/>
            <w:r>
              <w:rPr>
                <w:b w:val="0"/>
                <w:sz w:val="18"/>
              </w:rPr>
              <w:t>Order issued</w:t>
            </w:r>
          </w:p>
        </w:tc>
      </w:tr>
      <w:tr>
        <w:tc>
          <w:tcPr>
            <w:tcW w:type="dxa" w:w="2160"/>
          </w:tcPr>
          <w:p>
            <w:pPr>
              <w:spacing w:after="0"/>
            </w:pPr>
            <w:r/>
            <w:r>
              <w:rPr>
                <w:b w:val="0"/>
                <w:sz w:val="18"/>
              </w:rPr>
              <w:t>Order issued</w:t>
            </w:r>
          </w:p>
        </w:tc>
        <w:tc>
          <w:tcPr>
            <w:tcW w:type="dxa" w:w="4032"/>
          </w:tcPr>
          <w:p>
            <w:pPr>
              <w:spacing w:after="0"/>
            </w:pPr>
            <w:r/>
            <w:r>
              <w:rPr>
                <w:b w:val="0"/>
                <w:sz w:val="18"/>
              </w:rPr>
              <w:t>Market value and duty determined; order communicated; adjudicated value locked</w:t>
            </w:r>
          </w:p>
        </w:tc>
        <w:tc>
          <w:tcPr>
            <w:tcW w:type="dxa" w:w="1584"/>
          </w:tcPr>
          <w:p>
            <w:pPr>
              <w:spacing w:after="0"/>
            </w:pPr>
            <w:r/>
            <w:r>
              <w:rPr>
                <w:b w:val="0"/>
                <w:sz w:val="18"/>
              </w:rPr>
              <w:t>DC</w:t>
            </w:r>
          </w:p>
        </w:tc>
        <w:tc>
          <w:tcPr>
            <w:tcW w:type="dxa" w:w="1584"/>
          </w:tcPr>
          <w:p>
            <w:pPr>
              <w:spacing w:after="0"/>
            </w:pPr>
            <w:r/>
            <w:r>
              <w:rPr>
                <w:b w:val="0"/>
                <w:sz w:val="18"/>
              </w:rPr>
              <w:t>Under appeal / Duty difference payable</w:t>
            </w:r>
          </w:p>
        </w:tc>
      </w:tr>
      <w:tr>
        <w:tc>
          <w:tcPr>
            <w:tcW w:type="dxa" w:w="2160"/>
          </w:tcPr>
          <w:p>
            <w:pPr>
              <w:spacing w:after="0"/>
            </w:pPr>
            <w:r/>
            <w:r>
              <w:rPr>
                <w:b w:val="0"/>
                <w:sz w:val="18"/>
              </w:rPr>
              <w:t>Under appeal</w:t>
            </w:r>
          </w:p>
        </w:tc>
        <w:tc>
          <w:tcPr>
            <w:tcW w:type="dxa" w:w="4032"/>
          </w:tcPr>
          <w:p>
            <w:pPr>
              <w:spacing w:after="0"/>
            </w:pPr>
            <w:r/>
            <w:r>
              <w:rPr>
                <w:b w:val="0"/>
                <w:sz w:val="18"/>
              </w:rPr>
              <w:t>Appeal filed with 50% deposit</w:t>
            </w:r>
          </w:p>
        </w:tc>
        <w:tc>
          <w:tcPr>
            <w:tcW w:type="dxa" w:w="1584"/>
          </w:tcPr>
          <w:p>
            <w:pPr>
              <w:spacing w:after="0"/>
            </w:pPr>
            <w:r/>
            <w:r>
              <w:rPr>
                <w:b w:val="0"/>
                <w:sz w:val="18"/>
              </w:rPr>
              <w:t>Party</w:t>
            </w:r>
          </w:p>
        </w:tc>
        <w:tc>
          <w:tcPr>
            <w:tcW w:type="dxa" w:w="1584"/>
          </w:tcPr>
          <w:p>
            <w:pPr>
              <w:spacing w:after="0"/>
            </w:pPr>
            <w:r/>
            <w:r>
              <w:rPr>
                <w:b w:val="0"/>
                <w:sz w:val="18"/>
              </w:rPr>
              <w:t>Appeal decided / Remanded</w:t>
            </w:r>
          </w:p>
        </w:tc>
      </w:tr>
      <w:tr>
        <w:tc>
          <w:tcPr>
            <w:tcW w:type="dxa" w:w="2160"/>
          </w:tcPr>
          <w:p>
            <w:pPr>
              <w:spacing w:after="0"/>
            </w:pPr>
            <w:r/>
            <w:r>
              <w:rPr>
                <w:b w:val="0"/>
                <w:sz w:val="18"/>
              </w:rPr>
              <w:t>Remanded</w:t>
            </w:r>
          </w:p>
        </w:tc>
        <w:tc>
          <w:tcPr>
            <w:tcW w:type="dxa" w:w="4032"/>
          </w:tcPr>
          <w:p>
            <w:pPr>
              <w:spacing w:after="0"/>
            </w:pPr>
            <w:r/>
            <w:r>
              <w:rPr>
                <w:b w:val="0"/>
                <w:sz w:val="18"/>
              </w:rPr>
              <w:t>Returned to DC for fresh determination</w:t>
            </w:r>
          </w:p>
        </w:tc>
        <w:tc>
          <w:tcPr>
            <w:tcW w:type="dxa" w:w="1584"/>
          </w:tcPr>
          <w:p>
            <w:pPr>
              <w:spacing w:after="0"/>
            </w:pPr>
            <w:r/>
            <w:r>
              <w:rPr>
                <w:b w:val="0"/>
                <w:sz w:val="18"/>
              </w:rPr>
              <w:t>Regional Commissioner</w:t>
            </w:r>
          </w:p>
        </w:tc>
        <w:tc>
          <w:tcPr>
            <w:tcW w:type="dxa" w:w="1584"/>
          </w:tcPr>
          <w:p>
            <w:pPr>
              <w:spacing w:after="0"/>
            </w:pPr>
            <w:r/>
            <w:r>
              <w:rPr>
                <w:b w:val="0"/>
                <w:sz w:val="18"/>
              </w:rPr>
              <w:t>Under inquiry</w:t>
            </w:r>
          </w:p>
        </w:tc>
      </w:tr>
      <w:tr>
        <w:tc>
          <w:tcPr>
            <w:tcW w:type="dxa" w:w="2160"/>
          </w:tcPr>
          <w:p>
            <w:pPr>
              <w:spacing w:after="0"/>
            </w:pPr>
            <w:r/>
            <w:r>
              <w:rPr>
                <w:b w:val="0"/>
                <w:sz w:val="18"/>
              </w:rPr>
              <w:t>Appeal decided</w:t>
            </w:r>
          </w:p>
        </w:tc>
        <w:tc>
          <w:tcPr>
            <w:tcW w:type="dxa" w:w="4032"/>
          </w:tcPr>
          <w:p>
            <w:pPr>
              <w:spacing w:after="0"/>
            </w:pPr>
            <w:r/>
            <w:r>
              <w:rPr>
                <w:b w:val="0"/>
                <w:sz w:val="18"/>
              </w:rPr>
              <w:t>Value decided by appellate authority</w:t>
            </w:r>
          </w:p>
        </w:tc>
        <w:tc>
          <w:tcPr>
            <w:tcW w:type="dxa" w:w="1584"/>
          </w:tcPr>
          <w:p>
            <w:pPr>
              <w:spacing w:after="0"/>
            </w:pPr>
            <w:r/>
            <w:r>
              <w:rPr>
                <w:b w:val="0"/>
                <w:sz w:val="18"/>
              </w:rPr>
              <w:t>Regional Commissioner</w:t>
            </w:r>
          </w:p>
        </w:tc>
        <w:tc>
          <w:tcPr>
            <w:tcW w:type="dxa" w:w="1584"/>
          </w:tcPr>
          <w:p>
            <w:pPr>
              <w:spacing w:after="0"/>
            </w:pPr>
            <w:r/>
            <w:r>
              <w:rPr>
                <w:b w:val="0"/>
                <w:sz w:val="18"/>
              </w:rPr>
              <w:t>Duty difference payable / Refund due</w:t>
            </w:r>
          </w:p>
        </w:tc>
      </w:tr>
      <w:tr>
        <w:tc>
          <w:tcPr>
            <w:tcW w:type="dxa" w:w="2160"/>
          </w:tcPr>
          <w:p>
            <w:pPr>
              <w:spacing w:after="0"/>
            </w:pPr>
            <w:r/>
            <w:r>
              <w:rPr>
                <w:b w:val="0"/>
                <w:sz w:val="18"/>
              </w:rPr>
              <w:t>Duty difference payable</w:t>
            </w:r>
          </w:p>
        </w:tc>
        <w:tc>
          <w:tcPr>
            <w:tcW w:type="dxa" w:w="4032"/>
          </w:tcPr>
          <w:p>
            <w:pPr>
              <w:spacing w:after="0"/>
            </w:pPr>
            <w:r/>
            <w:r>
              <w:rPr>
                <w:b w:val="0"/>
                <w:sz w:val="18"/>
              </w:rPr>
              <w:t>Difference + interest (if any) computed</w:t>
            </w:r>
          </w:p>
        </w:tc>
        <w:tc>
          <w:tcPr>
            <w:tcW w:type="dxa" w:w="1584"/>
          </w:tcPr>
          <w:p>
            <w:pPr>
              <w:spacing w:after="0"/>
            </w:pPr>
            <w:r/>
            <w:r>
              <w:rPr>
                <w:b w:val="0"/>
                <w:sz w:val="18"/>
              </w:rPr>
              <w:t>System</w:t>
            </w:r>
          </w:p>
        </w:tc>
        <w:tc>
          <w:tcPr>
            <w:tcW w:type="dxa" w:w="1584"/>
          </w:tcPr>
          <w:p>
            <w:pPr>
              <w:spacing w:after="0"/>
            </w:pPr>
            <w:r/>
            <w:r>
              <w:rPr>
                <w:b w:val="0"/>
                <w:sz w:val="18"/>
              </w:rPr>
              <w:t>Paid</w:t>
            </w:r>
          </w:p>
        </w:tc>
      </w:tr>
      <w:tr>
        <w:tc>
          <w:tcPr>
            <w:tcW w:type="dxa" w:w="2160"/>
          </w:tcPr>
          <w:p>
            <w:pPr>
              <w:spacing w:after="0"/>
            </w:pPr>
            <w:r/>
            <w:r>
              <w:rPr>
                <w:b w:val="0"/>
                <w:sz w:val="18"/>
              </w:rPr>
              <w:t>Refund due</w:t>
            </w:r>
          </w:p>
        </w:tc>
        <w:tc>
          <w:tcPr>
            <w:tcW w:type="dxa" w:w="4032"/>
          </w:tcPr>
          <w:p>
            <w:pPr>
              <w:spacing w:after="0"/>
            </w:pPr>
            <w:r/>
            <w:r>
              <w:rPr>
                <w:b w:val="0"/>
                <w:sz w:val="18"/>
              </w:rPr>
              <w:t>Duty borne found sufficient; deposit to be refunded</w:t>
            </w:r>
          </w:p>
        </w:tc>
        <w:tc>
          <w:tcPr>
            <w:tcW w:type="dxa" w:w="1584"/>
          </w:tcPr>
          <w:p>
            <w:pPr>
              <w:spacing w:after="0"/>
            </w:pPr>
            <w:r/>
            <w:r>
              <w:rPr>
                <w:b w:val="0"/>
                <w:sz w:val="18"/>
              </w:rPr>
              <w:t>System</w:t>
            </w:r>
          </w:p>
        </w:tc>
        <w:tc>
          <w:tcPr>
            <w:tcW w:type="dxa" w:w="1584"/>
          </w:tcPr>
          <w:p>
            <w:pPr>
              <w:spacing w:after="0"/>
            </w:pPr>
            <w:r/>
            <w:r>
              <w:rPr>
                <w:b w:val="0"/>
                <w:sz w:val="18"/>
              </w:rPr>
              <w:t>Closed</w:t>
            </w:r>
          </w:p>
        </w:tc>
      </w:tr>
      <w:tr>
        <w:tc>
          <w:tcPr>
            <w:tcW w:type="dxa" w:w="2160"/>
          </w:tcPr>
          <w:p>
            <w:pPr>
              <w:spacing w:after="0"/>
            </w:pPr>
            <w:r/>
            <w:r>
              <w:rPr>
                <w:b w:val="0"/>
                <w:sz w:val="18"/>
              </w:rPr>
              <w:t>Paid</w:t>
            </w:r>
          </w:p>
        </w:tc>
        <w:tc>
          <w:tcPr>
            <w:tcW w:type="dxa" w:w="4032"/>
          </w:tcPr>
          <w:p>
            <w:pPr>
              <w:spacing w:after="0"/>
            </w:pPr>
            <w:r/>
            <w:r>
              <w:rPr>
                <w:b w:val="0"/>
                <w:sz w:val="18"/>
              </w:rPr>
              <w:t>Difference and interest paid</w:t>
            </w:r>
          </w:p>
        </w:tc>
        <w:tc>
          <w:tcPr>
            <w:tcW w:type="dxa" w:w="1584"/>
          </w:tcPr>
          <w:p>
            <w:pPr>
              <w:spacing w:after="0"/>
            </w:pPr>
            <w:r/>
            <w:r>
              <w:rPr>
                <w:b w:val="0"/>
                <w:sz w:val="18"/>
              </w:rPr>
              <w:t>Party</w:t>
            </w:r>
          </w:p>
        </w:tc>
        <w:tc>
          <w:tcPr>
            <w:tcW w:type="dxa" w:w="1584"/>
          </w:tcPr>
          <w:p>
            <w:pPr>
              <w:spacing w:after="0"/>
            </w:pPr>
            <w:r/>
            <w:r>
              <w:rPr>
                <w:b w:val="0"/>
                <w:sz w:val="18"/>
              </w:rPr>
              <w:t>Closed</w:t>
            </w:r>
          </w:p>
        </w:tc>
      </w:tr>
      <w:tr>
        <w:tc>
          <w:tcPr>
            <w:tcW w:type="dxa" w:w="2160"/>
          </w:tcPr>
          <w:p>
            <w:pPr>
              <w:spacing w:after="0"/>
            </w:pPr>
            <w:r/>
            <w:r>
              <w:rPr>
                <w:b w:val="0"/>
                <w:sz w:val="18"/>
              </w:rPr>
              <w:t>Closed</w:t>
            </w:r>
          </w:p>
        </w:tc>
        <w:tc>
          <w:tcPr>
            <w:tcW w:type="dxa" w:w="4032"/>
          </w:tcPr>
          <w:p>
            <w:pPr>
              <w:spacing w:after="0"/>
            </w:pPr>
            <w:r/>
            <w:r>
              <w:rPr>
                <w:b w:val="0"/>
                <w:sz w:val="18"/>
              </w:rPr>
              <w:t>Document released / suo motu case closed</w:t>
            </w:r>
          </w:p>
        </w:tc>
        <w:tc>
          <w:tcPr>
            <w:tcW w:type="dxa" w:w="1584"/>
          </w:tcPr>
          <w:p>
            <w:pPr>
              <w:spacing w:after="0"/>
            </w:pPr>
            <w:r/>
            <w:r>
              <w:rPr>
                <w:b w:val="0"/>
                <w:sz w:val="18"/>
              </w:rPr>
              <w:t>SR / System</w:t>
            </w:r>
          </w:p>
        </w:tc>
        <w:tc>
          <w:tcPr>
            <w:tcW w:type="dxa" w:w="1584"/>
          </w:tcPr>
          <w:p>
            <w:pPr>
              <w:spacing w:after="0"/>
            </w:pPr>
            <w:r/>
            <w:r>
              <w:rPr>
                <w:b w:val="0"/>
                <w:sz w:val="18"/>
              </w:rPr>
              <w:t>—</w:t>
            </w:r>
          </w:p>
        </w:tc>
      </w:tr>
    </w:tbl>
    <w:p/>
    <w:p>
      <w:pPr>
        <w:pStyle w:val="Heading3"/>
      </w:pPr>
      <w:r>
        <w:t>7.3 What is new in Kaveri 3.0</w:t>
      </w:r>
    </w:p>
    <w:p>
      <w:pPr/>
      <w:r>
        <w:t>Material enhancements compared with the Kaveri 2.0 valuation and undervaluation features (6). 7.3.1 maps each As-Is pain point from 6.1 to the Kaveri 3.0 closure.</w:t>
      </w:r>
    </w:p>
    <w:tbl>
      <w:tblPr>
        <w:tblStyle w:val="TableGrid"/>
        <w:tblW w:type="auto" w:w="0"/>
        <w:tblLook w:firstColumn="1" w:firstRow="1" w:lastColumn="0" w:lastRow="0" w:noHBand="0" w:noVBand="1" w:val="04A0"/>
      </w:tblPr>
      <w:tblGrid>
        <w:gridCol w:w="3408"/>
        <w:gridCol w:w="3408"/>
        <w:gridCol w:w="3408"/>
      </w:tblGrid>
      <w:tr>
        <w:tc>
          <w:tcPr>
            <w:tcW w:type="dxa" w:w="576"/>
            <w:shd w:val="clear" w:color="auto" w:fill="D9E2F3"/>
          </w:tcPr>
          <w:p>
            <w:pPr>
              <w:spacing w:after="0"/>
            </w:pPr>
            <w:r/>
            <w:r>
              <w:rPr>
                <w:b/>
                <w:sz w:val="18"/>
              </w:rPr>
              <w:t>#</w:t>
            </w:r>
          </w:p>
        </w:tc>
        <w:tc>
          <w:tcPr>
            <w:tcW w:type="dxa" w:w="2592"/>
            <w:shd w:val="clear" w:color="auto" w:fill="D9E2F3"/>
          </w:tcPr>
          <w:p>
            <w:pPr>
              <w:spacing w:after="0"/>
            </w:pPr>
            <w:r/>
            <w:r>
              <w:rPr>
                <w:b/>
                <w:sz w:val="18"/>
              </w:rPr>
              <w:t>Capability</w:t>
            </w:r>
          </w:p>
        </w:tc>
        <w:tc>
          <w:tcPr>
            <w:tcW w:type="dxa" w:w="6192"/>
            <w:shd w:val="clear" w:color="auto" w:fill="D9E2F3"/>
          </w:tcPr>
          <w:p>
            <w:pPr>
              <w:spacing w:after="0"/>
            </w:pPr>
            <w:r/>
            <w:r>
              <w:rPr>
                <w:b/>
                <w:sz w:val="18"/>
              </w:rPr>
              <w:t>What is new in Kaveri 3.0</w:t>
            </w:r>
          </w:p>
        </w:tc>
      </w:tr>
      <w:tr>
        <w:tc>
          <w:tcPr>
            <w:tcW w:type="dxa" w:w="576"/>
          </w:tcPr>
          <w:p>
            <w:pPr>
              <w:spacing w:after="0"/>
            </w:pPr>
            <w:r/>
            <w:r>
              <w:rPr>
                <w:b w:val="0"/>
                <w:sz w:val="18"/>
              </w:rPr>
              <w:t>1</w:t>
            </w:r>
          </w:p>
        </w:tc>
        <w:tc>
          <w:tcPr>
            <w:tcW w:type="dxa" w:w="2592"/>
          </w:tcPr>
          <w:p>
            <w:pPr>
              <w:spacing w:after="0"/>
            </w:pPr>
            <w:r/>
            <w:r>
              <w:rPr>
                <w:b w:val="0"/>
                <w:sz w:val="18"/>
              </w:rPr>
              <w:t>GIS valuation (KSRSAC)</w:t>
            </w:r>
          </w:p>
        </w:tc>
        <w:tc>
          <w:tcPr>
            <w:tcW w:type="dxa" w:w="6192"/>
          </w:tcPr>
          <w:p>
            <w:pPr>
              <w:spacing w:after="0"/>
            </w:pPr>
            <w:r/>
            <w:r>
              <w:rPr>
                <w:b w:val="0"/>
                <w:sz w:val="18"/>
              </w:rPr>
              <w:t>Parcel lookup, boundary check and spatial match to CVC area / road / rural-urban zone; map display and stored map snapshot</w:t>
            </w:r>
          </w:p>
        </w:tc>
      </w:tr>
      <w:tr>
        <w:tc>
          <w:tcPr>
            <w:tcW w:type="dxa" w:w="576"/>
          </w:tcPr>
          <w:p>
            <w:pPr>
              <w:spacing w:after="0"/>
            </w:pPr>
            <w:r/>
            <w:r>
              <w:rPr>
                <w:b w:val="0"/>
                <w:sz w:val="18"/>
              </w:rPr>
              <w:t>2</w:t>
            </w:r>
          </w:p>
        </w:tc>
        <w:tc>
          <w:tcPr>
            <w:tcW w:type="dxa" w:w="2592"/>
          </w:tcPr>
          <w:p>
            <w:pPr>
              <w:spacing w:after="0"/>
            </w:pPr>
            <w:r/>
            <w:r>
              <w:rPr>
                <w:b w:val="0"/>
                <w:sz w:val="18"/>
              </w:rPr>
              <w:t>Single source of rates</w:t>
            </w:r>
          </w:p>
        </w:tc>
        <w:tc>
          <w:tcPr>
            <w:tcW w:type="dxa" w:w="6192"/>
          </w:tcPr>
          <w:p>
            <w:pPr>
              <w:spacing w:after="0"/>
            </w:pPr>
            <w:r/>
            <w:r>
              <w:rPr>
                <w:b w:val="0"/>
                <w:sz w:val="18"/>
              </w:rPr>
              <w:t>Read-only consumption of Active, versioned CVC rates by execution date — identical in Citizen, DEO and SR logins</w:t>
            </w:r>
          </w:p>
        </w:tc>
      </w:tr>
      <w:tr>
        <w:tc>
          <w:tcPr>
            <w:tcW w:type="dxa" w:w="576"/>
          </w:tcPr>
          <w:p>
            <w:pPr>
              <w:spacing w:after="0"/>
            </w:pPr>
            <w:r/>
            <w:r>
              <w:rPr>
                <w:b w:val="0"/>
                <w:sz w:val="18"/>
              </w:rPr>
              <w:t>3</w:t>
            </w:r>
          </w:p>
        </w:tc>
        <w:tc>
          <w:tcPr>
            <w:tcW w:type="dxa" w:w="2592"/>
          </w:tcPr>
          <w:p>
            <w:pPr>
              <w:spacing w:after="0"/>
            </w:pPr>
            <w:r/>
            <w:r>
              <w:rPr>
                <w:b w:val="0"/>
                <w:sz w:val="18"/>
              </w:rPr>
              <w:t>Transparent valuation</w:t>
            </w:r>
          </w:p>
        </w:tc>
        <w:tc>
          <w:tcPr>
            <w:tcW w:type="dxa" w:w="6192"/>
          </w:tcPr>
          <w:p>
            <w:pPr>
              <w:spacing w:after="0"/>
            </w:pPr>
            <w:r/>
            <w:r>
              <w:rPr>
                <w:b w:val="0"/>
                <w:sz w:val="18"/>
              </w:rPr>
              <w:t>Itemised breakup with rate version, unit conversion and higher-of explanation before submission</w:t>
            </w:r>
          </w:p>
        </w:tc>
      </w:tr>
      <w:tr>
        <w:tc>
          <w:tcPr>
            <w:tcW w:type="dxa" w:w="576"/>
          </w:tcPr>
          <w:p>
            <w:pPr>
              <w:spacing w:after="0"/>
            </w:pPr>
            <w:r/>
            <w:r>
              <w:rPr>
                <w:b w:val="0"/>
                <w:sz w:val="18"/>
              </w:rPr>
              <w:t>4</w:t>
            </w:r>
          </w:p>
        </w:tc>
        <w:tc>
          <w:tcPr>
            <w:tcW w:type="dxa" w:w="2592"/>
          </w:tcPr>
          <w:p>
            <w:pPr>
              <w:spacing w:after="0"/>
            </w:pPr>
            <w:r/>
            <w:r>
              <w:rPr>
                <w:b w:val="0"/>
                <w:sz w:val="18"/>
              </w:rPr>
              <w:t>Reliable duty hand-off</w:t>
            </w:r>
          </w:p>
        </w:tc>
        <w:tc>
          <w:tcPr>
            <w:tcW w:type="dxa" w:w="6192"/>
          </w:tcPr>
          <w:p>
            <w:pPr>
              <w:spacing w:after="0"/>
            </w:pPr>
            <w:r/>
            <w:r>
              <w:rPr>
                <w:b w:val="0"/>
                <w:sz w:val="18"/>
              </w:rPr>
              <w:t>Market value passed with Schedule article; Save gated on a valid computed duty and fee</w:t>
            </w:r>
          </w:p>
        </w:tc>
      </w:tr>
      <w:tr>
        <w:tc>
          <w:tcPr>
            <w:tcW w:type="dxa" w:w="576"/>
          </w:tcPr>
          <w:p>
            <w:pPr>
              <w:spacing w:after="0"/>
            </w:pPr>
            <w:r/>
            <w:r>
              <w:rPr>
                <w:b w:val="0"/>
                <w:sz w:val="18"/>
              </w:rPr>
              <w:t>5</w:t>
            </w:r>
          </w:p>
        </w:tc>
        <w:tc>
          <w:tcPr>
            <w:tcW w:type="dxa" w:w="2592"/>
          </w:tcPr>
          <w:p>
            <w:pPr>
              <w:spacing w:after="0"/>
            </w:pPr>
            <w:r/>
            <w:r>
              <w:rPr>
                <w:b w:val="0"/>
                <w:sz w:val="18"/>
              </w:rPr>
              <w:t>Adjudicated value respected</w:t>
            </w:r>
          </w:p>
        </w:tc>
        <w:tc>
          <w:tcPr>
            <w:tcW w:type="dxa" w:w="6192"/>
          </w:tcPr>
          <w:p>
            <w:pPr>
              <w:spacing w:after="0"/>
            </w:pPr>
            <w:r/>
            <w:r>
              <w:rPr>
                <w:b w:val="0"/>
                <w:sz w:val="18"/>
              </w:rPr>
              <w:t>Sec. 45-A adjudicated value locked and used in summary, payment, document and EC</w:t>
            </w:r>
          </w:p>
        </w:tc>
      </w:tr>
      <w:tr>
        <w:tc>
          <w:tcPr>
            <w:tcW w:type="dxa" w:w="576"/>
          </w:tcPr>
          <w:p>
            <w:pPr>
              <w:spacing w:after="0"/>
            </w:pPr>
            <w:r/>
            <w:r>
              <w:rPr>
                <w:b w:val="0"/>
                <w:sz w:val="18"/>
              </w:rPr>
              <w:t>6</w:t>
            </w:r>
          </w:p>
        </w:tc>
        <w:tc>
          <w:tcPr>
            <w:tcW w:type="dxa" w:w="2592"/>
          </w:tcPr>
          <w:p>
            <w:pPr>
              <w:spacing w:after="0"/>
            </w:pPr>
            <w:r/>
            <w:r>
              <w:rPr>
                <w:b w:val="0"/>
                <w:sz w:val="18"/>
              </w:rPr>
              <w:t>Digitised Sec. 45-A</w:t>
            </w:r>
          </w:p>
        </w:tc>
        <w:tc>
          <w:tcPr>
            <w:tcW w:type="dxa" w:w="6192"/>
          </w:tcPr>
          <w:p>
            <w:pPr>
              <w:spacing w:after="0"/>
            </w:pPr>
            <w:r/>
            <w:r>
              <w:rPr>
                <w:b w:val="0"/>
                <w:sz w:val="18"/>
              </w:rPr>
              <w:t>End-to-end reference, Form I, DC hearing and order, suo motu, appeal with 50% deposit, interest and refund</w:t>
            </w:r>
          </w:p>
        </w:tc>
      </w:tr>
      <w:tr>
        <w:tc>
          <w:tcPr>
            <w:tcW w:type="dxa" w:w="576"/>
          </w:tcPr>
          <w:p>
            <w:pPr>
              <w:spacing w:after="0"/>
            </w:pPr>
            <w:r/>
            <w:r>
              <w:rPr>
                <w:b w:val="0"/>
                <w:sz w:val="18"/>
              </w:rPr>
              <w:t>7</w:t>
            </w:r>
          </w:p>
        </w:tc>
        <w:tc>
          <w:tcPr>
            <w:tcW w:type="dxa" w:w="2592"/>
          </w:tcPr>
          <w:p>
            <w:pPr>
              <w:spacing w:after="0"/>
            </w:pPr>
            <w:r/>
            <w:r>
              <w:rPr>
                <w:b w:val="0"/>
                <w:sz w:val="18"/>
              </w:rPr>
              <w:t>Revaluation workflow</w:t>
            </w:r>
          </w:p>
        </w:tc>
        <w:tc>
          <w:tcPr>
            <w:tcW w:type="dxa" w:w="6192"/>
          </w:tcPr>
          <w:p>
            <w:pPr>
              <w:spacing w:after="0"/>
            </w:pPr>
            <w:r/>
            <w:r>
              <w:rPr>
                <w:b w:val="0"/>
                <w:sz w:val="18"/>
              </w:rPr>
              <w:t>Send back with remarks, withdraw, resubmit — no stuck applications</w:t>
            </w:r>
          </w:p>
        </w:tc>
      </w:tr>
      <w:tr>
        <w:tc>
          <w:tcPr>
            <w:tcW w:type="dxa" w:w="576"/>
          </w:tcPr>
          <w:p>
            <w:pPr>
              <w:spacing w:after="0"/>
            </w:pPr>
            <w:r/>
            <w:r>
              <w:rPr>
                <w:b w:val="0"/>
                <w:sz w:val="18"/>
              </w:rPr>
              <w:t>8</w:t>
            </w:r>
          </w:p>
        </w:tc>
        <w:tc>
          <w:tcPr>
            <w:tcW w:type="dxa" w:w="2592"/>
          </w:tcPr>
          <w:p>
            <w:pPr>
              <w:spacing w:after="0"/>
            </w:pPr>
            <w:r/>
            <w:r>
              <w:rPr>
                <w:b w:val="0"/>
                <w:sz w:val="18"/>
              </w:rPr>
              <w:t>Master alignment</w:t>
            </w:r>
          </w:p>
        </w:tc>
        <w:tc>
          <w:tcPr>
            <w:tcW w:type="dxa" w:w="6192"/>
          </w:tcPr>
          <w:p>
            <w:pPr>
              <w:spacing w:after="0"/>
            </w:pPr>
            <w:r/>
            <w:r>
              <w:rPr>
                <w:b w:val="0"/>
                <w:sz w:val="18"/>
              </w:rPr>
              <w:t>Village / road / survey crosswalk between Kaveri, CVC and KSRSAC with effective-dated splits and reconciliation reports</w:t>
            </w:r>
          </w:p>
        </w:tc>
      </w:tr>
      <w:tr>
        <w:tc>
          <w:tcPr>
            <w:tcW w:type="dxa" w:w="576"/>
          </w:tcPr>
          <w:p>
            <w:pPr>
              <w:spacing w:after="0"/>
            </w:pPr>
            <w:r/>
            <w:r>
              <w:rPr>
                <w:b w:val="0"/>
                <w:sz w:val="18"/>
              </w:rPr>
              <w:t>9</w:t>
            </w:r>
          </w:p>
        </w:tc>
        <w:tc>
          <w:tcPr>
            <w:tcW w:type="dxa" w:w="2592"/>
          </w:tcPr>
          <w:p>
            <w:pPr>
              <w:spacing w:after="0"/>
            </w:pPr>
            <w:r/>
            <w:r>
              <w:rPr>
                <w:b w:val="0"/>
                <w:sz w:val="18"/>
              </w:rPr>
              <w:t>Public guideline value search</w:t>
            </w:r>
          </w:p>
        </w:tc>
        <w:tc>
          <w:tcPr>
            <w:tcW w:type="dxa" w:w="6192"/>
          </w:tcPr>
          <w:p>
            <w:pPr>
              <w:spacing w:after="0"/>
            </w:pPr>
            <w:r/>
            <w:r>
              <w:rPr>
                <w:b w:val="0"/>
                <w:sz w:val="18"/>
              </w:rPr>
              <w:t>Citizens can see rates and map for an area before applying</w:t>
            </w:r>
          </w:p>
        </w:tc>
      </w:tr>
    </w:tbl>
    <w:p/>
    <w:p>
      <w:pPr>
        <w:pStyle w:val="Heading4"/>
      </w:pPr>
      <w:r>
        <w:t>7.3.1 Rectified As-Is pain points</w:t>
      </w:r>
    </w:p>
    <w:tbl>
      <w:tblPr>
        <w:tblStyle w:val="TableGrid"/>
        <w:tblW w:type="auto" w:w="0"/>
        <w:tblLook w:firstColumn="1" w:firstRow="1" w:lastColumn="0" w:lastRow="0" w:noHBand="0" w:noVBand="1" w:val="04A0"/>
      </w:tblPr>
      <w:tblGrid>
        <w:gridCol w:w="3408"/>
        <w:gridCol w:w="3408"/>
        <w:gridCol w:w="3408"/>
      </w:tblGrid>
      <w:tr>
        <w:tc>
          <w:tcPr>
            <w:tcW w:type="dxa" w:w="720"/>
            <w:shd w:val="clear" w:color="auto" w:fill="D9E2F3"/>
          </w:tcPr>
          <w:p>
            <w:pPr>
              <w:spacing w:after="0"/>
            </w:pPr>
            <w:r/>
            <w:r>
              <w:rPr>
                <w:b/>
                <w:sz w:val="18"/>
              </w:rPr>
              <w:t>Sr.No</w:t>
            </w:r>
          </w:p>
        </w:tc>
        <w:tc>
          <w:tcPr>
            <w:tcW w:type="dxa" w:w="2880"/>
            <w:shd w:val="clear" w:color="auto" w:fill="D9E2F3"/>
          </w:tcPr>
          <w:p>
            <w:pPr>
              <w:spacing w:after="0"/>
            </w:pPr>
            <w:r/>
            <w:r>
              <w:rPr>
                <w:b/>
                <w:sz w:val="18"/>
              </w:rPr>
              <w:t>Pain Point (As-Is)</w:t>
            </w:r>
          </w:p>
        </w:tc>
        <w:tc>
          <w:tcPr>
            <w:tcW w:type="dxa" w:w="5760"/>
            <w:shd w:val="clear" w:color="auto" w:fill="D9E2F3"/>
          </w:tcPr>
          <w:p>
            <w:pPr>
              <w:spacing w:after="0"/>
            </w:pPr>
            <w:r/>
            <w:r>
              <w:rPr>
                <w:b/>
                <w:sz w:val="18"/>
              </w:rPr>
              <w:t>How rectified in Kaveri 3.0</w:t>
            </w:r>
          </w:p>
        </w:tc>
      </w:tr>
      <w:tr>
        <w:tc>
          <w:tcPr>
            <w:tcW w:type="dxa" w:w="720"/>
          </w:tcPr>
          <w:p>
            <w:pPr>
              <w:spacing w:after="0"/>
            </w:pPr>
            <w:r/>
            <w:r>
              <w:rPr>
                <w:b w:val="0"/>
                <w:sz w:val="18"/>
              </w:rPr>
              <w:t>1</w:t>
            </w:r>
          </w:p>
        </w:tc>
        <w:tc>
          <w:tcPr>
            <w:tcW w:type="dxa" w:w="2880"/>
          </w:tcPr>
          <w:p>
            <w:pPr>
              <w:spacing w:after="0"/>
            </w:pPr>
            <w:r/>
            <w:r>
              <w:rPr>
                <w:b w:val="0"/>
                <w:sz w:val="18"/>
              </w:rPr>
              <w:t>Wrong / blank market value</w:t>
            </w:r>
          </w:p>
        </w:tc>
        <w:tc>
          <w:tcPr>
            <w:tcW w:type="dxa" w:w="5760"/>
          </w:tcPr>
          <w:p>
            <w:pPr>
              <w:spacing w:after="0"/>
            </w:pPr>
            <w:r/>
            <w:r>
              <w:rPr>
                <w:b w:val="0"/>
                <w:sz w:val="18"/>
              </w:rPr>
              <w:t>Rates read from the Active CVC version; rate-gap detection instead of blank value; market value persisted to document, index and EC</w:t>
            </w:r>
          </w:p>
        </w:tc>
      </w:tr>
      <w:tr>
        <w:tc>
          <w:tcPr>
            <w:tcW w:type="dxa" w:w="720"/>
          </w:tcPr>
          <w:p>
            <w:pPr>
              <w:spacing w:after="0"/>
            </w:pPr>
            <w:r/>
            <w:r>
              <w:rPr>
                <w:b w:val="0"/>
                <w:sz w:val="18"/>
              </w:rPr>
              <w:t>2</w:t>
            </w:r>
          </w:p>
        </w:tc>
        <w:tc>
          <w:tcPr>
            <w:tcW w:type="dxa" w:w="2880"/>
          </w:tcPr>
          <w:p>
            <w:pPr>
              <w:spacing w:after="0"/>
            </w:pPr>
            <w:r/>
            <w:r>
              <w:rPr>
                <w:b w:val="0"/>
                <w:sz w:val="18"/>
              </w:rPr>
              <w:t>Wrong building rate for rural properties</w:t>
            </w:r>
          </w:p>
        </w:tc>
        <w:tc>
          <w:tcPr>
            <w:tcW w:type="dxa" w:w="5760"/>
          </w:tcPr>
          <w:p>
            <w:pPr>
              <w:spacing w:after="0"/>
            </w:pPr>
            <w:r/>
            <w:r>
              <w:rPr>
                <w:b w:val="0"/>
                <w:sz w:val="18"/>
              </w:rPr>
              <w:t>GIS-derived rural / urban zone drives the building rate; rural parcels cannot receive TMC / CMC rates</w:t>
            </w:r>
          </w:p>
        </w:tc>
      </w:tr>
      <w:tr>
        <w:tc>
          <w:tcPr>
            <w:tcW w:type="dxa" w:w="720"/>
          </w:tcPr>
          <w:p>
            <w:pPr>
              <w:spacing w:after="0"/>
            </w:pPr>
            <w:r/>
            <w:r>
              <w:rPr>
                <w:b w:val="0"/>
                <w:sz w:val="18"/>
              </w:rPr>
              <w:t>3</w:t>
            </w:r>
          </w:p>
        </w:tc>
        <w:tc>
          <w:tcPr>
            <w:tcW w:type="dxa" w:w="2880"/>
          </w:tcPr>
          <w:p>
            <w:pPr>
              <w:spacing w:after="0"/>
            </w:pPr>
            <w:r/>
            <w:r>
              <w:rPr>
                <w:b w:val="0"/>
                <w:sz w:val="18"/>
              </w:rPr>
              <w:t>Unit-level valuation fails</w:t>
            </w:r>
          </w:p>
        </w:tc>
        <w:tc>
          <w:tcPr>
            <w:tcW w:type="dxa" w:w="5760"/>
          </w:tcPr>
          <w:p>
            <w:pPr>
              <w:spacing w:after="0"/>
            </w:pPr>
            <w:r/>
            <w:r>
              <w:rPr>
                <w:b w:val="0"/>
                <w:sz w:val="18"/>
              </w:rPr>
              <w:t>Conversion master and base-unit calculation; 1 gunta and other small extents supported</w:t>
            </w:r>
          </w:p>
        </w:tc>
      </w:tr>
      <w:tr>
        <w:tc>
          <w:tcPr>
            <w:tcW w:type="dxa" w:w="720"/>
          </w:tcPr>
          <w:p>
            <w:pPr>
              <w:spacing w:after="0"/>
            </w:pPr>
            <w:r/>
            <w:r>
              <w:rPr>
                <w:b w:val="0"/>
                <w:sz w:val="18"/>
              </w:rPr>
              <w:t>4</w:t>
            </w:r>
          </w:p>
        </w:tc>
        <w:tc>
          <w:tcPr>
            <w:tcW w:type="dxa" w:w="2880"/>
          </w:tcPr>
          <w:p>
            <w:pPr>
              <w:spacing w:after="0"/>
            </w:pPr>
            <w:r/>
            <w:r>
              <w:rPr>
                <w:b w:val="0"/>
                <w:sz w:val="18"/>
              </w:rPr>
              <w:t>Duty / fee calculator fails</w:t>
            </w:r>
          </w:p>
        </w:tc>
        <w:tc>
          <w:tcPr>
            <w:tcW w:type="dxa" w:w="5760"/>
          </w:tcPr>
          <w:p>
            <w:pPr>
              <w:spacing w:after="0"/>
            </w:pPr>
            <w:r/>
            <w:r>
              <w:rPr>
                <w:b w:val="0"/>
                <w:sz w:val="18"/>
              </w:rPr>
              <w:t>Market value and article passed to the fee engine; Save enabled only on valid computed duty / fee; retry on fee-engine failure</w:t>
            </w:r>
          </w:p>
        </w:tc>
      </w:tr>
      <w:tr>
        <w:tc>
          <w:tcPr>
            <w:tcW w:type="dxa" w:w="720"/>
          </w:tcPr>
          <w:p>
            <w:pPr>
              <w:spacing w:after="0"/>
            </w:pPr>
            <w:r/>
            <w:r>
              <w:rPr>
                <w:b w:val="0"/>
                <w:sz w:val="18"/>
              </w:rPr>
              <w:t>5</w:t>
            </w:r>
          </w:p>
        </w:tc>
        <w:tc>
          <w:tcPr>
            <w:tcW w:type="dxa" w:w="2880"/>
          </w:tcPr>
          <w:p>
            <w:pPr>
              <w:spacing w:after="0"/>
            </w:pPr>
            <w:r/>
            <w:r>
              <w:rPr>
                <w:b w:val="0"/>
                <w:sz w:val="18"/>
              </w:rPr>
              <w:t>Adjudicated value not respected</w:t>
            </w:r>
          </w:p>
        </w:tc>
        <w:tc>
          <w:tcPr>
            <w:tcW w:type="dxa" w:w="5760"/>
          </w:tcPr>
          <w:p>
            <w:pPr>
              <w:spacing w:after="0"/>
            </w:pPr>
            <w:r/>
            <w:r>
              <w:rPr>
                <w:b w:val="0"/>
                <w:sz w:val="18"/>
              </w:rPr>
              <w:t>Adjudicated value overrides guideline value in summary and payment</w:t>
            </w:r>
          </w:p>
        </w:tc>
      </w:tr>
      <w:tr>
        <w:tc>
          <w:tcPr>
            <w:tcW w:type="dxa" w:w="720"/>
          </w:tcPr>
          <w:p>
            <w:pPr>
              <w:spacing w:after="0"/>
            </w:pPr>
            <w:r/>
            <w:r>
              <w:rPr>
                <w:b w:val="0"/>
                <w:sz w:val="18"/>
              </w:rPr>
              <w:t>6</w:t>
            </w:r>
          </w:p>
        </w:tc>
        <w:tc>
          <w:tcPr>
            <w:tcW w:type="dxa" w:w="2880"/>
          </w:tcPr>
          <w:p>
            <w:pPr>
              <w:spacing w:after="0"/>
            </w:pPr>
            <w:r/>
            <w:r>
              <w:rPr>
                <w:b w:val="0"/>
                <w:sz w:val="18"/>
              </w:rPr>
              <w:t>Instrument-specific gaps</w:t>
            </w:r>
          </w:p>
        </w:tc>
        <w:tc>
          <w:tcPr>
            <w:tcW w:type="dxa" w:w="5760"/>
          </w:tcPr>
          <w:p>
            <w:pPr>
              <w:spacing w:after="0"/>
            </w:pPr>
            <w:r/>
            <w:r>
              <w:rPr>
                <w:b w:val="0"/>
                <w:sz w:val="18"/>
              </w:rPr>
              <w:t>Valuation basis per Schedule article including trust, partition, gift; Sec. 45-A instrument master</w:t>
            </w:r>
          </w:p>
        </w:tc>
      </w:tr>
      <w:tr>
        <w:tc>
          <w:tcPr>
            <w:tcW w:type="dxa" w:w="720"/>
          </w:tcPr>
          <w:p>
            <w:pPr>
              <w:spacing w:after="0"/>
            </w:pPr>
            <w:r/>
            <w:r>
              <w:rPr>
                <w:b w:val="0"/>
                <w:sz w:val="18"/>
              </w:rPr>
              <w:t>7</w:t>
            </w:r>
          </w:p>
        </w:tc>
        <w:tc>
          <w:tcPr>
            <w:tcW w:type="dxa" w:w="2880"/>
          </w:tcPr>
          <w:p>
            <w:pPr>
              <w:spacing w:after="0"/>
            </w:pPr>
            <w:r/>
            <w:r>
              <w:rPr>
                <w:b w:val="0"/>
                <w:sz w:val="18"/>
              </w:rPr>
              <w:t>CVC rates missing in logins</w:t>
            </w:r>
          </w:p>
        </w:tc>
        <w:tc>
          <w:tcPr>
            <w:tcW w:type="dxa" w:w="5760"/>
          </w:tcPr>
          <w:p>
            <w:pPr>
              <w:spacing w:after="0"/>
            </w:pPr>
            <w:r/>
            <w:r>
              <w:rPr>
                <w:b w:val="0"/>
                <w:sz w:val="18"/>
              </w:rPr>
              <w:t>Single rate service for all logins; missing-rate alerts and reconciliation report</w:t>
            </w:r>
          </w:p>
        </w:tc>
      </w:tr>
      <w:tr>
        <w:tc>
          <w:tcPr>
            <w:tcW w:type="dxa" w:w="720"/>
          </w:tcPr>
          <w:p>
            <w:pPr>
              <w:spacing w:after="0"/>
            </w:pPr>
            <w:r/>
            <w:r>
              <w:rPr>
                <w:b w:val="0"/>
                <w:sz w:val="18"/>
              </w:rPr>
              <w:t>8</w:t>
            </w:r>
          </w:p>
        </w:tc>
        <w:tc>
          <w:tcPr>
            <w:tcW w:type="dxa" w:w="2880"/>
          </w:tcPr>
          <w:p>
            <w:pPr>
              <w:spacing w:after="0"/>
            </w:pPr>
            <w:r/>
            <w:r>
              <w:rPr>
                <w:b w:val="0"/>
                <w:sz w:val="18"/>
              </w:rPr>
              <w:t>Cannot correct CVC rates in Citizen login</w:t>
            </w:r>
          </w:p>
        </w:tc>
        <w:tc>
          <w:tcPr>
            <w:tcW w:type="dxa" w:w="5760"/>
          </w:tcPr>
          <w:p>
            <w:pPr>
              <w:spacing w:after="0"/>
            </w:pPr>
            <w:r/>
            <w:r>
              <w:rPr>
                <w:b w:val="0"/>
                <w:sz w:val="18"/>
              </w:rPr>
              <w:t>Rates are read-only; correction request routed to CVC with evidence</w:t>
            </w:r>
          </w:p>
        </w:tc>
      </w:tr>
      <w:tr>
        <w:tc>
          <w:tcPr>
            <w:tcW w:type="dxa" w:w="720"/>
          </w:tcPr>
          <w:p>
            <w:pPr>
              <w:spacing w:after="0"/>
            </w:pPr>
            <w:r/>
            <w:r>
              <w:rPr>
                <w:b w:val="0"/>
                <w:sz w:val="18"/>
              </w:rPr>
              <w:t>9</w:t>
            </w:r>
          </w:p>
        </w:tc>
        <w:tc>
          <w:tcPr>
            <w:tcW w:type="dxa" w:w="2880"/>
          </w:tcPr>
          <w:p>
            <w:pPr>
              <w:spacing w:after="0"/>
            </w:pPr>
            <w:r/>
            <w:r>
              <w:rPr>
                <w:b w:val="0"/>
                <w:sz w:val="18"/>
              </w:rPr>
              <w:t>Generic CVC module / payment failures</w:t>
            </w:r>
          </w:p>
        </w:tc>
        <w:tc>
          <w:tcPr>
            <w:tcW w:type="dxa" w:w="5760"/>
          </w:tcPr>
          <w:p>
            <w:pPr>
              <w:spacing w:after="0"/>
            </w:pPr>
            <w:r/>
            <w:r>
              <w:rPr>
                <w:b w:val="0"/>
                <w:sz w:val="18"/>
              </w:rPr>
              <w:t>Resilient integration with clear errors, resumable state and payment polling</w:t>
            </w:r>
          </w:p>
        </w:tc>
      </w:tr>
      <w:tr>
        <w:tc>
          <w:tcPr>
            <w:tcW w:type="dxa" w:w="720"/>
          </w:tcPr>
          <w:p>
            <w:pPr>
              <w:spacing w:after="0"/>
            </w:pPr>
            <w:r/>
            <w:r>
              <w:rPr>
                <w:b w:val="0"/>
                <w:sz w:val="18"/>
              </w:rPr>
              <w:t>10</w:t>
            </w:r>
          </w:p>
        </w:tc>
        <w:tc>
          <w:tcPr>
            <w:tcW w:type="dxa" w:w="2880"/>
          </w:tcPr>
          <w:p>
            <w:pPr>
              <w:spacing w:after="0"/>
            </w:pPr>
            <w:r/>
            <w:r>
              <w:rPr>
                <w:b w:val="0"/>
                <w:sz w:val="18"/>
              </w:rPr>
              <w:t>Revaluation / send-back broken</w:t>
            </w:r>
          </w:p>
        </w:tc>
        <w:tc>
          <w:tcPr>
            <w:tcW w:type="dxa" w:w="5760"/>
          </w:tcPr>
          <w:p>
            <w:pPr>
              <w:spacing w:after="0"/>
            </w:pPr>
            <w:r/>
            <w:r>
              <w:rPr>
                <w:b w:val="0"/>
                <w:sz w:val="18"/>
              </w:rPr>
              <w:t>Explicit status model with send back, withdraw and atomic transitions</w:t>
            </w:r>
          </w:p>
        </w:tc>
      </w:tr>
      <w:tr>
        <w:tc>
          <w:tcPr>
            <w:tcW w:type="dxa" w:w="720"/>
          </w:tcPr>
          <w:p>
            <w:pPr>
              <w:spacing w:after="0"/>
            </w:pPr>
            <w:r/>
            <w:r>
              <w:rPr>
                <w:b w:val="0"/>
                <w:sz w:val="18"/>
              </w:rPr>
              <w:t>11</w:t>
            </w:r>
          </w:p>
        </w:tc>
        <w:tc>
          <w:tcPr>
            <w:tcW w:type="dxa" w:w="2880"/>
          </w:tcPr>
          <w:p>
            <w:pPr>
              <w:spacing w:after="0"/>
            </w:pPr>
            <w:r/>
            <w:r>
              <w:rPr>
                <w:b w:val="0"/>
                <w:sz w:val="18"/>
              </w:rPr>
              <w:t>Sec. 45-A data / payment stuck</w:t>
            </w:r>
          </w:p>
        </w:tc>
        <w:tc>
          <w:tcPr>
            <w:tcW w:type="dxa" w:w="5760"/>
          </w:tcPr>
          <w:p>
            <w:pPr>
              <w:spacing w:after="0"/>
            </w:pPr>
            <w:r/>
            <w:r>
              <w:rPr>
                <w:b w:val="0"/>
                <w:sz w:val="18"/>
              </w:rPr>
              <w:t>Digitised case workflow, online payment of difference, migration of pending Kaveri-1 cases</w:t>
            </w:r>
          </w:p>
        </w:tc>
      </w:tr>
      <w:tr>
        <w:tc>
          <w:tcPr>
            <w:tcW w:type="dxa" w:w="720"/>
          </w:tcPr>
          <w:p>
            <w:pPr>
              <w:spacing w:after="0"/>
            </w:pPr>
            <w:r/>
            <w:r>
              <w:rPr>
                <w:b w:val="0"/>
                <w:sz w:val="18"/>
              </w:rPr>
              <w:t>12</w:t>
            </w:r>
          </w:p>
        </w:tc>
        <w:tc>
          <w:tcPr>
            <w:tcW w:type="dxa" w:w="2880"/>
          </w:tcPr>
          <w:p>
            <w:pPr>
              <w:spacing w:after="0"/>
            </w:pPr>
            <w:r/>
            <w:r>
              <w:rPr>
                <w:b w:val="0"/>
                <w:sz w:val="18"/>
              </w:rPr>
              <w:t>Master misalignment</w:t>
            </w:r>
          </w:p>
        </w:tc>
        <w:tc>
          <w:tcPr>
            <w:tcW w:type="dxa" w:w="5760"/>
          </w:tcPr>
          <w:p>
            <w:pPr>
              <w:spacing w:after="0"/>
            </w:pPr>
            <w:r/>
            <w:r>
              <w:rPr>
                <w:b w:val="0"/>
                <w:sz w:val="18"/>
              </w:rPr>
              <w:t>Crosswalk masters, effective-dated village splits, road-name correction workflow, KSRSAC sync</w:t>
            </w:r>
          </w:p>
        </w:tc>
      </w:tr>
    </w:tbl>
    <w:p/>
    <w:p>
      <w:pPr>
        <w:pStyle w:val="Heading2"/>
      </w:pPr>
      <w:r>
        <w:t>8. Functional requirements</w:t>
      </w:r>
    </w:p>
    <w:p>
      <w:pPr/>
      <w:r>
        <w:t>Functional requirements are aligned with section 7 (To-Be). Section 7 is the process authority; section 8 states testable requirements (FR-GVC-* for guideline value calculation, FR-GIS-* for GIS valuation, FR-UV-* for Sec. 45-A undervaluation) and cites the related step where applicable.</w:t>
      </w:r>
    </w:p>
    <w:p>
      <w:pPr>
        <w:pStyle w:val="Heading3"/>
      </w:pPr>
      <w:r>
        <w:t>8.1 Property identification and jurisdiction</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FR-GVC-001</w:t>
            </w:r>
          </w:p>
        </w:tc>
        <w:tc>
          <w:tcPr>
            <w:tcW w:type="dxa" w:w="5184"/>
          </w:tcPr>
          <w:p>
            <w:pPr>
              <w:spacing w:after="0"/>
            </w:pPr>
            <w:r/>
            <w:r>
              <w:rPr>
                <w:b w:val="0"/>
                <w:sz w:val="18"/>
              </w:rPr>
              <w:t>System shall capture property location through cascading active masters: district → taluk → hobli / town → village / ward (Registration Rule 13) and derive the jurisdictional SRO</w:t>
            </w:r>
          </w:p>
        </w:tc>
        <w:tc>
          <w:tcPr>
            <w:tcW w:type="dxa" w:w="864"/>
          </w:tcPr>
          <w:p>
            <w:pPr>
              <w:spacing w:after="0"/>
            </w:pPr>
            <w:r/>
            <w:r>
              <w:rPr>
                <w:b w:val="0"/>
                <w:sz w:val="18"/>
              </w:rPr>
              <w:t>Must</w:t>
            </w:r>
          </w:p>
        </w:tc>
        <w:tc>
          <w:tcPr>
            <w:tcW w:type="dxa" w:w="2736"/>
          </w:tcPr>
          <w:p>
            <w:pPr>
              <w:spacing w:after="0"/>
            </w:pPr>
            <w:r/>
            <w:r>
              <w:rPr>
                <w:b w:val="0"/>
                <w:sz w:val="18"/>
              </w:rPr>
              <w:t>Only active masters selectable; SRO derived automatically; 7.1 step 1</w:t>
            </w:r>
          </w:p>
        </w:tc>
      </w:tr>
      <w:tr>
        <w:tc>
          <w:tcPr>
            <w:tcW w:type="dxa" w:w="1440"/>
          </w:tcPr>
          <w:p>
            <w:pPr>
              <w:spacing w:after="0"/>
            </w:pPr>
            <w:r/>
            <w:r>
              <w:rPr>
                <w:b w:val="0"/>
                <w:sz w:val="18"/>
              </w:rPr>
              <w:t>FR-GVC-002</w:t>
            </w:r>
          </w:p>
        </w:tc>
        <w:tc>
          <w:tcPr>
            <w:tcW w:type="dxa" w:w="5184"/>
          </w:tcPr>
          <w:p>
            <w:pPr>
              <w:spacing w:after="0"/>
            </w:pPr>
            <w:r/>
            <w:r>
              <w:rPr>
                <w:b w:val="0"/>
                <w:sz w:val="18"/>
              </w:rPr>
              <w:t>System shall capture the property identifier: survey number with Pot Hissa / sub-division (rural), city survey / CTS / municipal number (urban), khata / UPIN / ULPIN, or pick on map (Registration Rule 15)</w:t>
            </w:r>
          </w:p>
        </w:tc>
        <w:tc>
          <w:tcPr>
            <w:tcW w:type="dxa" w:w="864"/>
          </w:tcPr>
          <w:p>
            <w:pPr>
              <w:spacing w:after="0"/>
            </w:pPr>
            <w:r/>
            <w:r>
              <w:rPr>
                <w:b w:val="0"/>
                <w:sz w:val="18"/>
              </w:rPr>
              <w:t>Must</w:t>
            </w:r>
          </w:p>
        </w:tc>
        <w:tc>
          <w:tcPr>
            <w:tcW w:type="dxa" w:w="2736"/>
          </w:tcPr>
          <w:p>
            <w:pPr>
              <w:spacing w:after="0"/>
            </w:pPr>
            <w:r/>
            <w:r>
              <w:rPr>
                <w:b w:val="0"/>
                <w:sz w:val="18"/>
              </w:rPr>
              <w:t>At least one identifier mandatory; 7.1 step 2</w:t>
            </w:r>
          </w:p>
        </w:tc>
      </w:tr>
      <w:tr>
        <w:tc>
          <w:tcPr>
            <w:tcW w:type="dxa" w:w="1440"/>
          </w:tcPr>
          <w:p>
            <w:pPr>
              <w:spacing w:after="0"/>
            </w:pPr>
            <w:r/>
            <w:r>
              <w:rPr>
                <w:b w:val="0"/>
                <w:sz w:val="18"/>
              </w:rPr>
              <w:t>FR-GVC-003</w:t>
            </w:r>
          </w:p>
        </w:tc>
        <w:tc>
          <w:tcPr>
            <w:tcW w:type="dxa" w:w="5184"/>
          </w:tcPr>
          <w:p>
            <w:pPr>
              <w:spacing w:after="0"/>
            </w:pPr>
            <w:r/>
            <w:r>
              <w:rPr>
                <w:b w:val="0"/>
                <w:sz w:val="18"/>
              </w:rPr>
              <w:t>System shall capture property type — agricultural (dry / wet / garden) or non-agricultural (residential / commercial / industrial; site / flat / building) — mapped to CVC rate heads</w:t>
            </w:r>
          </w:p>
        </w:tc>
        <w:tc>
          <w:tcPr>
            <w:tcW w:type="dxa" w:w="864"/>
          </w:tcPr>
          <w:p>
            <w:pPr>
              <w:spacing w:after="0"/>
            </w:pPr>
            <w:r/>
            <w:r>
              <w:rPr>
                <w:b w:val="0"/>
                <w:sz w:val="18"/>
              </w:rPr>
              <w:t>Must</w:t>
            </w:r>
          </w:p>
        </w:tc>
        <w:tc>
          <w:tcPr>
            <w:tcW w:type="dxa" w:w="2736"/>
          </w:tcPr>
          <w:p>
            <w:pPr>
              <w:spacing w:after="0"/>
            </w:pPr>
            <w:r/>
            <w:r>
              <w:rPr>
                <w:b w:val="0"/>
                <w:sz w:val="18"/>
              </w:rPr>
              <w:t>Property type determines rate head; 7.1 step 7</w:t>
            </w:r>
          </w:p>
        </w:tc>
      </w:tr>
      <w:tr>
        <w:tc>
          <w:tcPr>
            <w:tcW w:type="dxa" w:w="1440"/>
          </w:tcPr>
          <w:p>
            <w:pPr>
              <w:spacing w:after="0"/>
            </w:pPr>
            <w:r/>
            <w:r>
              <w:rPr>
                <w:b w:val="0"/>
                <w:sz w:val="18"/>
              </w:rPr>
              <w:t>FR-GVC-004</w:t>
            </w:r>
          </w:p>
        </w:tc>
        <w:tc>
          <w:tcPr>
            <w:tcW w:type="dxa" w:w="5184"/>
          </w:tcPr>
          <w:p>
            <w:pPr>
              <w:spacing w:after="0"/>
            </w:pPr>
            <w:r/>
            <w:r>
              <w:rPr>
                <w:b w:val="0"/>
                <w:sz w:val="18"/>
              </w:rPr>
              <w:t>System shall capture extent with unit (acre-gunta-ana, cent, hectare, sq.ft, sq.m) and convert to the base unit through a configurable conversion master</w:t>
            </w:r>
          </w:p>
        </w:tc>
        <w:tc>
          <w:tcPr>
            <w:tcW w:type="dxa" w:w="864"/>
          </w:tcPr>
          <w:p>
            <w:pPr>
              <w:spacing w:after="0"/>
            </w:pPr>
            <w:r/>
            <w:r>
              <w:rPr>
                <w:b w:val="0"/>
                <w:sz w:val="18"/>
              </w:rPr>
              <w:t>Must</w:t>
            </w:r>
          </w:p>
        </w:tc>
        <w:tc>
          <w:tcPr>
            <w:tcW w:type="dxa" w:w="2736"/>
          </w:tcPr>
          <w:p>
            <w:pPr>
              <w:spacing w:after="0"/>
            </w:pPr>
            <w:r/>
            <w:r>
              <w:rPr>
                <w:b w:val="0"/>
                <w:sz w:val="18"/>
              </w:rPr>
              <w:t>1 acre = 40 guntas = 4,046.86 sq.m; 1 gunta valuation returns a non-zero value (31788)</w:t>
            </w:r>
          </w:p>
        </w:tc>
      </w:tr>
      <w:tr>
        <w:tc>
          <w:tcPr>
            <w:tcW w:type="dxa" w:w="1440"/>
          </w:tcPr>
          <w:p>
            <w:pPr>
              <w:spacing w:after="0"/>
            </w:pPr>
            <w:r/>
            <w:r>
              <w:rPr>
                <w:b w:val="0"/>
                <w:sz w:val="18"/>
              </w:rPr>
              <w:t>FR-GVC-005</w:t>
            </w:r>
          </w:p>
        </w:tc>
        <w:tc>
          <w:tcPr>
            <w:tcW w:type="dxa" w:w="5184"/>
          </w:tcPr>
          <w:p>
            <w:pPr>
              <w:spacing w:after="0"/>
            </w:pPr>
            <w:r/>
            <w:r>
              <w:rPr>
                <w:b w:val="0"/>
                <w:sz w:val="18"/>
              </w:rPr>
              <w:t>System shall capture building particulars — built-up area per floor, construction type, year of construction and CVC-notified amenities</w:t>
            </w:r>
          </w:p>
        </w:tc>
        <w:tc>
          <w:tcPr>
            <w:tcW w:type="dxa" w:w="864"/>
          </w:tcPr>
          <w:p>
            <w:pPr>
              <w:spacing w:after="0"/>
            </w:pPr>
            <w:r/>
            <w:r>
              <w:rPr>
                <w:b w:val="0"/>
                <w:sz w:val="18"/>
              </w:rPr>
              <w:t>Must</w:t>
            </w:r>
          </w:p>
        </w:tc>
        <w:tc>
          <w:tcPr>
            <w:tcW w:type="dxa" w:w="2736"/>
          </w:tcPr>
          <w:p>
            <w:pPr>
              <w:spacing w:after="0"/>
            </w:pPr>
            <w:r/>
            <w:r>
              <w:rPr>
                <w:b w:val="0"/>
                <w:sz w:val="18"/>
              </w:rPr>
              <w:t>Fields shown only for property types with structures</w:t>
            </w:r>
          </w:p>
        </w:tc>
      </w:tr>
      <w:tr>
        <w:tc>
          <w:tcPr>
            <w:tcW w:type="dxa" w:w="1440"/>
          </w:tcPr>
          <w:p>
            <w:pPr>
              <w:spacing w:after="0"/>
            </w:pPr>
            <w:r/>
            <w:r>
              <w:rPr>
                <w:b w:val="0"/>
                <w:sz w:val="18"/>
              </w:rPr>
              <w:t>FR-GVC-006</w:t>
            </w:r>
          </w:p>
        </w:tc>
        <w:tc>
          <w:tcPr>
            <w:tcW w:type="dxa" w:w="5184"/>
          </w:tcPr>
          <w:p>
            <w:pPr>
              <w:spacing w:after="0"/>
            </w:pPr>
            <w:r/>
            <w:r>
              <w:rPr>
                <w:b w:val="0"/>
                <w:sz w:val="18"/>
              </w:rPr>
              <w:t>System should prefill survey extent and owner particulars from integrated land / property records (RTC, urban property records) where available [integration list TBD]</w:t>
            </w:r>
          </w:p>
        </w:tc>
        <w:tc>
          <w:tcPr>
            <w:tcW w:type="dxa" w:w="864"/>
          </w:tcPr>
          <w:p>
            <w:pPr>
              <w:spacing w:after="0"/>
            </w:pPr>
            <w:r/>
            <w:r>
              <w:rPr>
                <w:b w:val="0"/>
                <w:sz w:val="18"/>
              </w:rPr>
              <w:t>Should</w:t>
            </w:r>
          </w:p>
        </w:tc>
        <w:tc>
          <w:tcPr>
            <w:tcW w:type="dxa" w:w="2736"/>
          </w:tcPr>
          <w:p>
            <w:pPr>
              <w:spacing w:after="0"/>
            </w:pPr>
            <w:r/>
            <w:r>
              <w:rPr>
                <w:b w:val="0"/>
                <w:sz w:val="18"/>
              </w:rPr>
              <w:t>Prefilled values editable with audit; failed fetch does not block manual entry</w:t>
            </w:r>
          </w:p>
        </w:tc>
      </w:tr>
    </w:tbl>
    <w:p/>
    <w:p>
      <w:pPr>
        <w:pStyle w:val="Heading3"/>
      </w:pPr>
      <w:r>
        <w:t>8.2 GIS parcel lookup and spatial rate matching</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FR-GIS-001</w:t>
            </w:r>
          </w:p>
        </w:tc>
        <w:tc>
          <w:tcPr>
            <w:tcW w:type="dxa" w:w="5184"/>
          </w:tcPr>
          <w:p>
            <w:pPr>
              <w:spacing w:after="0"/>
            </w:pPr>
            <w:r/>
            <w:r>
              <w:rPr>
                <w:b w:val="0"/>
                <w:sz w:val="18"/>
              </w:rPr>
              <w:t>System shall send the property identifiers to the KSRSAC GIS service and receive the parcel polygon, centre point, nearest road and administrative boundary</w:t>
            </w:r>
          </w:p>
        </w:tc>
        <w:tc>
          <w:tcPr>
            <w:tcW w:type="dxa" w:w="864"/>
          </w:tcPr>
          <w:p>
            <w:pPr>
              <w:spacing w:after="0"/>
            </w:pPr>
            <w:r/>
            <w:r>
              <w:rPr>
                <w:b w:val="0"/>
                <w:sz w:val="18"/>
              </w:rPr>
              <w:t>Must</w:t>
            </w:r>
          </w:p>
        </w:tc>
        <w:tc>
          <w:tcPr>
            <w:tcW w:type="dxa" w:w="2736"/>
          </w:tcPr>
          <w:p>
            <w:pPr>
              <w:spacing w:after="0"/>
            </w:pPr>
            <w:r/>
            <w:r>
              <w:rPr>
                <w:b w:val="0"/>
                <w:sz w:val="18"/>
              </w:rPr>
              <w:t>Response within NFR-GVC-PERF-002; 7.1 step 3</w:t>
            </w:r>
          </w:p>
        </w:tc>
      </w:tr>
      <w:tr>
        <w:tc>
          <w:tcPr>
            <w:tcW w:type="dxa" w:w="1440"/>
          </w:tcPr>
          <w:p>
            <w:pPr>
              <w:spacing w:after="0"/>
            </w:pPr>
            <w:r/>
            <w:r>
              <w:rPr>
                <w:b w:val="0"/>
                <w:sz w:val="18"/>
              </w:rPr>
              <w:t>FR-GIS-002</w:t>
            </w:r>
          </w:p>
        </w:tc>
        <w:tc>
          <w:tcPr>
            <w:tcW w:type="dxa" w:w="5184"/>
          </w:tcPr>
          <w:p>
            <w:pPr>
              <w:spacing w:after="0"/>
            </w:pPr>
            <w:r/>
            <w:r>
              <w:rPr>
                <w:b w:val="0"/>
                <w:sz w:val="18"/>
              </w:rPr>
              <w:t>System shall validate that the parcel lies inside the selected village / ward; if not found or outside, the user shall correct the details or choose the valuation area manually with a mandatory reason, and the application shall be flagged for SR</w:t>
            </w:r>
          </w:p>
        </w:tc>
        <w:tc>
          <w:tcPr>
            <w:tcW w:type="dxa" w:w="864"/>
          </w:tcPr>
          <w:p>
            <w:pPr>
              <w:spacing w:after="0"/>
            </w:pPr>
            <w:r/>
            <w:r>
              <w:rPr>
                <w:b w:val="0"/>
                <w:sz w:val="18"/>
              </w:rPr>
              <w:t>Must</w:t>
            </w:r>
          </w:p>
        </w:tc>
        <w:tc>
          <w:tcPr>
            <w:tcW w:type="dxa" w:w="2736"/>
          </w:tcPr>
          <w:p>
            <w:pPr>
              <w:spacing w:after="0"/>
            </w:pPr>
            <w:r/>
            <w:r>
              <w:rPr>
                <w:b w:val="0"/>
                <w:sz w:val="18"/>
              </w:rPr>
              <w:t>Manual selection requires reason; flag visible on SR workbench; 7.1 step 4</w:t>
            </w:r>
          </w:p>
        </w:tc>
      </w:tr>
      <w:tr>
        <w:tc>
          <w:tcPr>
            <w:tcW w:type="dxa" w:w="1440"/>
          </w:tcPr>
          <w:p>
            <w:pPr>
              <w:spacing w:after="0"/>
            </w:pPr>
            <w:r/>
            <w:r>
              <w:rPr>
                <w:b w:val="0"/>
                <w:sz w:val="18"/>
              </w:rPr>
              <w:t>FR-GIS-003</w:t>
            </w:r>
          </w:p>
        </w:tc>
        <w:tc>
          <w:tcPr>
            <w:tcW w:type="dxa" w:w="5184"/>
          </w:tcPr>
          <w:p>
            <w:pPr>
              <w:spacing w:after="0"/>
            </w:pPr>
            <w:r/>
            <w:r>
              <w:rPr>
                <w:b w:val="0"/>
                <w:sz w:val="18"/>
              </w:rPr>
              <w:t>System shall spatially match the parcel to the CVC valuation area, road and rural / urban zone (Gram Panchayat, TMC, CMC, City Corporation, Development Authority)</w:t>
            </w:r>
          </w:p>
        </w:tc>
        <w:tc>
          <w:tcPr>
            <w:tcW w:type="dxa" w:w="864"/>
          </w:tcPr>
          <w:p>
            <w:pPr>
              <w:spacing w:after="0"/>
            </w:pPr>
            <w:r/>
            <w:r>
              <w:rPr>
                <w:b w:val="0"/>
                <w:sz w:val="18"/>
              </w:rPr>
              <w:t>Must</w:t>
            </w:r>
          </w:p>
        </w:tc>
        <w:tc>
          <w:tcPr>
            <w:tcW w:type="dxa" w:w="2736"/>
          </w:tcPr>
          <w:p>
            <w:pPr>
              <w:spacing w:after="0"/>
            </w:pPr>
            <w:r/>
            <w:r>
              <w:rPr>
                <w:b w:val="0"/>
                <w:sz w:val="18"/>
              </w:rPr>
              <w:t>Rural parcel never receives TMC / CMC building rate (29393, 93332); 7.1 step 5</w:t>
            </w:r>
          </w:p>
        </w:tc>
      </w:tr>
      <w:tr>
        <w:tc>
          <w:tcPr>
            <w:tcW w:type="dxa" w:w="1440"/>
          </w:tcPr>
          <w:p>
            <w:pPr>
              <w:spacing w:after="0"/>
            </w:pPr>
            <w:r/>
            <w:r>
              <w:rPr>
                <w:b w:val="0"/>
                <w:sz w:val="18"/>
              </w:rPr>
              <w:t>FR-GIS-004</w:t>
            </w:r>
          </w:p>
        </w:tc>
        <w:tc>
          <w:tcPr>
            <w:tcW w:type="dxa" w:w="5184"/>
          </w:tcPr>
          <w:p>
            <w:pPr>
              <w:spacing w:after="0"/>
            </w:pPr>
            <w:r/>
            <w:r>
              <w:rPr>
                <w:b w:val="0"/>
                <w:sz w:val="18"/>
              </w:rPr>
              <w:t>Where a parcel spans more than one valuation area, system shall apply the CVC-approved rule [rule TBD by CVC] and display the areas involved</w:t>
            </w:r>
          </w:p>
        </w:tc>
        <w:tc>
          <w:tcPr>
            <w:tcW w:type="dxa" w:w="864"/>
          </w:tcPr>
          <w:p>
            <w:pPr>
              <w:spacing w:after="0"/>
            </w:pPr>
            <w:r/>
            <w:r>
              <w:rPr>
                <w:b w:val="0"/>
                <w:sz w:val="18"/>
              </w:rPr>
              <w:t>Should</w:t>
            </w:r>
          </w:p>
        </w:tc>
        <w:tc>
          <w:tcPr>
            <w:tcW w:type="dxa" w:w="2736"/>
          </w:tcPr>
          <w:p>
            <w:pPr>
              <w:spacing w:after="0"/>
            </w:pPr>
            <w:r/>
            <w:r>
              <w:rPr>
                <w:b w:val="0"/>
                <w:sz w:val="18"/>
              </w:rPr>
              <w:t>Rule configurable; all intersecting areas shown</w:t>
            </w:r>
          </w:p>
        </w:tc>
      </w:tr>
      <w:tr>
        <w:tc>
          <w:tcPr>
            <w:tcW w:type="dxa" w:w="1440"/>
          </w:tcPr>
          <w:p>
            <w:pPr>
              <w:spacing w:after="0"/>
            </w:pPr>
            <w:r/>
            <w:r>
              <w:rPr>
                <w:b w:val="0"/>
                <w:sz w:val="18"/>
              </w:rPr>
              <w:t>FR-GIS-005</w:t>
            </w:r>
          </w:p>
        </w:tc>
        <w:tc>
          <w:tcPr>
            <w:tcW w:type="dxa" w:w="5184"/>
          </w:tcPr>
          <w:p>
            <w:pPr>
              <w:spacing w:after="0"/>
            </w:pPr>
            <w:r/>
            <w:r>
              <w:rPr>
                <w:b w:val="0"/>
                <w:sz w:val="18"/>
              </w:rPr>
              <w:t>System shall display an interactive map with the parcel, valuation area boundary and rate label to citizen, DEO and SR</w:t>
            </w:r>
          </w:p>
        </w:tc>
        <w:tc>
          <w:tcPr>
            <w:tcW w:type="dxa" w:w="864"/>
          </w:tcPr>
          <w:p>
            <w:pPr>
              <w:spacing w:after="0"/>
            </w:pPr>
            <w:r/>
            <w:r>
              <w:rPr>
                <w:b w:val="0"/>
                <w:sz w:val="18"/>
              </w:rPr>
              <w:t>Must</w:t>
            </w:r>
          </w:p>
        </w:tc>
        <w:tc>
          <w:tcPr>
            <w:tcW w:type="dxa" w:w="2736"/>
          </w:tcPr>
          <w:p>
            <w:pPr>
              <w:spacing w:after="0"/>
            </w:pPr>
            <w:r/>
            <w:r>
              <w:rPr>
                <w:b w:val="0"/>
                <w:sz w:val="18"/>
              </w:rPr>
              <w:t>Map visible in valuation and SR verification screens</w:t>
            </w:r>
          </w:p>
        </w:tc>
      </w:tr>
      <w:tr>
        <w:tc>
          <w:tcPr>
            <w:tcW w:type="dxa" w:w="1440"/>
          </w:tcPr>
          <w:p>
            <w:pPr>
              <w:spacing w:after="0"/>
            </w:pPr>
            <w:r/>
            <w:r>
              <w:rPr>
                <w:b w:val="0"/>
                <w:sz w:val="18"/>
              </w:rPr>
              <w:t>FR-GIS-006</w:t>
            </w:r>
          </w:p>
        </w:tc>
        <w:tc>
          <w:tcPr>
            <w:tcW w:type="dxa" w:w="5184"/>
          </w:tcPr>
          <w:p>
            <w:pPr>
              <w:spacing w:after="0"/>
            </w:pPr>
            <w:r/>
            <w:r>
              <w:rPr>
                <w:b w:val="0"/>
                <w:sz w:val="18"/>
              </w:rPr>
              <w:t>System shall store a GIS map snapshot (image, coordinates, KSRSAC layer version, timestamp) with the valuation and print it on the valuation summary</w:t>
            </w:r>
          </w:p>
        </w:tc>
        <w:tc>
          <w:tcPr>
            <w:tcW w:type="dxa" w:w="864"/>
          </w:tcPr>
          <w:p>
            <w:pPr>
              <w:spacing w:after="0"/>
            </w:pPr>
            <w:r/>
            <w:r>
              <w:rPr>
                <w:b w:val="0"/>
                <w:sz w:val="18"/>
              </w:rPr>
              <w:t>Must</w:t>
            </w:r>
          </w:p>
        </w:tc>
        <w:tc>
          <w:tcPr>
            <w:tcW w:type="dxa" w:w="2736"/>
          </w:tcPr>
          <w:p>
            <w:pPr>
              <w:spacing w:after="0"/>
            </w:pPr>
            <w:r/>
            <w:r>
              <w:rPr>
                <w:b w:val="0"/>
                <w:sz w:val="18"/>
              </w:rPr>
              <w:t>Snapshot retrievable for the life of the record; 7.1 step 11</w:t>
            </w:r>
          </w:p>
        </w:tc>
      </w:tr>
      <w:tr>
        <w:tc>
          <w:tcPr>
            <w:tcW w:type="dxa" w:w="1440"/>
          </w:tcPr>
          <w:p>
            <w:pPr>
              <w:spacing w:after="0"/>
            </w:pPr>
            <w:r/>
            <w:r>
              <w:rPr>
                <w:b w:val="0"/>
                <w:sz w:val="18"/>
              </w:rPr>
              <w:t>FR-GIS-007</w:t>
            </w:r>
          </w:p>
        </w:tc>
        <w:tc>
          <w:tcPr>
            <w:tcW w:type="dxa" w:w="5184"/>
          </w:tcPr>
          <w:p>
            <w:pPr>
              <w:spacing w:after="0"/>
            </w:pPr>
            <w:r/>
            <w:r>
              <w:rPr>
                <w:b w:val="0"/>
                <w:sz w:val="18"/>
              </w:rPr>
              <w:t>System should allow the user to pick the parcel on the map and derive the village and survey number from the selection</w:t>
            </w:r>
          </w:p>
        </w:tc>
        <w:tc>
          <w:tcPr>
            <w:tcW w:type="dxa" w:w="864"/>
          </w:tcPr>
          <w:p>
            <w:pPr>
              <w:spacing w:after="0"/>
            </w:pPr>
            <w:r/>
            <w:r>
              <w:rPr>
                <w:b w:val="0"/>
                <w:sz w:val="18"/>
              </w:rPr>
              <w:t>Should</w:t>
            </w:r>
          </w:p>
        </w:tc>
        <w:tc>
          <w:tcPr>
            <w:tcW w:type="dxa" w:w="2736"/>
          </w:tcPr>
          <w:p>
            <w:pPr>
              <w:spacing w:after="0"/>
            </w:pPr>
            <w:r/>
            <w:r>
              <w:rPr>
                <w:b w:val="0"/>
                <w:sz w:val="18"/>
              </w:rPr>
              <w:t>Map pick fills identifiers; still validated by FR-GIS-002</w:t>
            </w:r>
          </w:p>
        </w:tc>
      </w:tr>
      <w:tr>
        <w:tc>
          <w:tcPr>
            <w:tcW w:type="dxa" w:w="1440"/>
          </w:tcPr>
          <w:p>
            <w:pPr>
              <w:spacing w:after="0"/>
            </w:pPr>
            <w:r/>
            <w:r>
              <w:rPr>
                <w:b w:val="0"/>
                <w:sz w:val="18"/>
              </w:rPr>
              <w:t>FR-GIS-008</w:t>
            </w:r>
          </w:p>
        </w:tc>
        <w:tc>
          <w:tcPr>
            <w:tcW w:type="dxa" w:w="5184"/>
          </w:tcPr>
          <w:p>
            <w:pPr>
              <w:spacing w:after="0"/>
            </w:pPr>
            <w:r/>
            <w:r>
              <w:rPr>
                <w:b w:val="0"/>
                <w:sz w:val="18"/>
              </w:rPr>
              <w:t>System shall record the KSRSAC request / response identifier and layer version for every lookup</w:t>
            </w:r>
          </w:p>
        </w:tc>
        <w:tc>
          <w:tcPr>
            <w:tcW w:type="dxa" w:w="864"/>
          </w:tcPr>
          <w:p>
            <w:pPr>
              <w:spacing w:after="0"/>
            </w:pPr>
            <w:r/>
            <w:r>
              <w:rPr>
                <w:b w:val="0"/>
                <w:sz w:val="18"/>
              </w:rPr>
              <w:t>Must</w:t>
            </w:r>
          </w:p>
        </w:tc>
        <w:tc>
          <w:tcPr>
            <w:tcW w:type="dxa" w:w="2736"/>
          </w:tcPr>
          <w:p>
            <w:pPr>
              <w:spacing w:after="0"/>
            </w:pPr>
            <w:r/>
            <w:r>
              <w:rPr>
                <w:b w:val="0"/>
                <w:sz w:val="18"/>
              </w:rPr>
              <w:t>Audit query by application number</w:t>
            </w:r>
          </w:p>
        </w:tc>
      </w:tr>
    </w:tbl>
    <w:p/>
    <w:p>
      <w:pPr>
        <w:pStyle w:val="Heading3"/>
      </w:pPr>
      <w:r>
        <w:t>8.3 CVC guideline rate consumption</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FR-GVC-010</w:t>
            </w:r>
          </w:p>
        </w:tc>
        <w:tc>
          <w:tcPr>
            <w:tcW w:type="dxa" w:w="5184"/>
          </w:tcPr>
          <w:p>
            <w:pPr>
              <w:spacing w:after="0"/>
            </w:pPr>
            <w:r/>
            <w:r>
              <w:rPr>
                <w:b w:val="0"/>
                <w:sz w:val="18"/>
              </w:rPr>
              <w:t>System shall read guideline rates only from the published, Active, versioned rate master of the CVC Valuation Module (BRD-K3-CVC-GVF-001); no local rate tables or overrides</w:t>
            </w:r>
          </w:p>
        </w:tc>
        <w:tc>
          <w:tcPr>
            <w:tcW w:type="dxa" w:w="864"/>
          </w:tcPr>
          <w:p>
            <w:pPr>
              <w:spacing w:after="0"/>
            </w:pPr>
            <w:r/>
            <w:r>
              <w:rPr>
                <w:b w:val="0"/>
                <w:sz w:val="18"/>
              </w:rPr>
              <w:t>Must</w:t>
            </w:r>
          </w:p>
        </w:tc>
        <w:tc>
          <w:tcPr>
            <w:tcW w:type="dxa" w:w="2736"/>
          </w:tcPr>
          <w:p>
            <w:pPr>
              <w:spacing w:after="0"/>
            </w:pPr>
            <w:r/>
            <w:r>
              <w:rPr>
                <w:b w:val="0"/>
                <w:sz w:val="18"/>
              </w:rPr>
              <w:t>Single rate service; Sec. 45-B</w:t>
            </w:r>
          </w:p>
        </w:tc>
      </w:tr>
      <w:tr>
        <w:tc>
          <w:tcPr>
            <w:tcW w:type="dxa" w:w="1440"/>
          </w:tcPr>
          <w:p>
            <w:pPr>
              <w:spacing w:after="0"/>
            </w:pPr>
            <w:r/>
            <w:r>
              <w:rPr>
                <w:b w:val="0"/>
                <w:sz w:val="18"/>
              </w:rPr>
              <w:t>FR-GVC-011</w:t>
            </w:r>
          </w:p>
        </w:tc>
        <w:tc>
          <w:tcPr>
            <w:tcW w:type="dxa" w:w="5184"/>
          </w:tcPr>
          <w:p>
            <w:pPr>
              <w:spacing w:after="0"/>
            </w:pPr>
            <w:r/>
            <w:r>
              <w:rPr>
                <w:b w:val="0"/>
                <w:sz w:val="18"/>
              </w:rPr>
              <w:t>System shall select the rate version effective on the date of execution of the instrument, including historic versions for back-dated execution</w:t>
            </w:r>
          </w:p>
        </w:tc>
        <w:tc>
          <w:tcPr>
            <w:tcW w:type="dxa" w:w="864"/>
          </w:tcPr>
          <w:p>
            <w:pPr>
              <w:spacing w:after="0"/>
            </w:pPr>
            <w:r/>
            <w:r>
              <w:rPr>
                <w:b w:val="0"/>
                <w:sz w:val="18"/>
              </w:rPr>
              <w:t>Must</w:t>
            </w:r>
          </w:p>
        </w:tc>
        <w:tc>
          <w:tcPr>
            <w:tcW w:type="dxa" w:w="2736"/>
          </w:tcPr>
          <w:p>
            <w:pPr>
              <w:spacing w:after="0"/>
            </w:pPr>
            <w:r/>
            <w:r>
              <w:rPr>
                <w:b w:val="0"/>
                <w:sz w:val="18"/>
              </w:rPr>
              <w:t>Execution date before the latest effective date picks the earlier version; Sec. 2(mm)</w:t>
            </w:r>
          </w:p>
        </w:tc>
      </w:tr>
      <w:tr>
        <w:tc>
          <w:tcPr>
            <w:tcW w:type="dxa" w:w="1440"/>
          </w:tcPr>
          <w:p>
            <w:pPr>
              <w:spacing w:after="0"/>
            </w:pPr>
            <w:r/>
            <w:r>
              <w:rPr>
                <w:b w:val="0"/>
                <w:sz w:val="18"/>
              </w:rPr>
              <w:t>FR-GVC-012</w:t>
            </w:r>
          </w:p>
        </w:tc>
        <w:tc>
          <w:tcPr>
            <w:tcW w:type="dxa" w:w="5184"/>
          </w:tcPr>
          <w:p>
            <w:pPr>
              <w:spacing w:after="0"/>
            </w:pPr>
            <w:r/>
            <w:r>
              <w:rPr>
                <w:b w:val="0"/>
                <w:sz w:val="18"/>
              </w:rPr>
              <w:t>The same Active rates shall be returned to Citizen, DEO and SR logins; any rate not resolvable shall raise an exception alert to the valuation administrator</w:t>
            </w:r>
          </w:p>
        </w:tc>
        <w:tc>
          <w:tcPr>
            <w:tcW w:type="dxa" w:w="864"/>
          </w:tcPr>
          <w:p>
            <w:pPr>
              <w:spacing w:after="0"/>
            </w:pPr>
            <w:r/>
            <w:r>
              <w:rPr>
                <w:b w:val="0"/>
                <w:sz w:val="18"/>
              </w:rPr>
              <w:t>Must</w:t>
            </w:r>
          </w:p>
        </w:tc>
        <w:tc>
          <w:tcPr>
            <w:tcW w:type="dxa" w:w="2736"/>
          </w:tcPr>
          <w:p>
            <w:pPr>
              <w:spacing w:after="0"/>
            </w:pPr>
            <w:r/>
            <w:r>
              <w:rPr>
                <w:b w:val="0"/>
                <w:sz w:val="18"/>
              </w:rPr>
              <w:t>No login-specific divergence (31481, 31521); alert logged</w:t>
            </w:r>
          </w:p>
        </w:tc>
      </w:tr>
      <w:tr>
        <w:tc>
          <w:tcPr>
            <w:tcW w:type="dxa" w:w="1440"/>
          </w:tcPr>
          <w:p>
            <w:pPr>
              <w:spacing w:after="0"/>
            </w:pPr>
            <w:r/>
            <w:r>
              <w:rPr>
                <w:b w:val="0"/>
                <w:sz w:val="18"/>
              </w:rPr>
              <w:t>FR-GVC-013</w:t>
            </w:r>
          </w:p>
        </w:tc>
        <w:tc>
          <w:tcPr>
            <w:tcW w:type="dxa" w:w="5184"/>
          </w:tcPr>
          <w:p>
            <w:pPr>
              <w:spacing w:after="0"/>
            </w:pPr>
            <w:r/>
            <w:r>
              <w:rPr>
                <w:b w:val="0"/>
                <w:sz w:val="18"/>
              </w:rPr>
              <w:t>Rates shall be read-only in Citizen, DEO and SR logins; a rate correction request with evidence shall be routed to the CVC / DR workflow</w:t>
            </w:r>
          </w:p>
        </w:tc>
        <w:tc>
          <w:tcPr>
            <w:tcW w:type="dxa" w:w="864"/>
          </w:tcPr>
          <w:p>
            <w:pPr>
              <w:spacing w:after="0"/>
            </w:pPr>
            <w:r/>
            <w:r>
              <w:rPr>
                <w:b w:val="0"/>
                <w:sz w:val="18"/>
              </w:rPr>
              <w:t>Must</w:t>
            </w:r>
          </w:p>
        </w:tc>
        <w:tc>
          <w:tcPr>
            <w:tcW w:type="dxa" w:w="2736"/>
          </w:tcPr>
          <w:p>
            <w:pPr>
              <w:spacing w:after="0"/>
            </w:pPr>
            <w:r/>
            <w:r>
              <w:rPr>
                <w:b w:val="0"/>
                <w:sz w:val="18"/>
              </w:rPr>
              <w:t>No edit controls (21795); request tracked to closure in CVC module</w:t>
            </w:r>
          </w:p>
        </w:tc>
      </w:tr>
      <w:tr>
        <w:tc>
          <w:tcPr>
            <w:tcW w:type="dxa" w:w="1440"/>
          </w:tcPr>
          <w:p>
            <w:pPr>
              <w:spacing w:after="0"/>
            </w:pPr>
            <w:r/>
            <w:r>
              <w:rPr>
                <w:b w:val="0"/>
                <w:sz w:val="18"/>
              </w:rPr>
              <w:t>FR-GVC-014</w:t>
            </w:r>
          </w:p>
        </w:tc>
        <w:tc>
          <w:tcPr>
            <w:tcW w:type="dxa" w:w="5184"/>
          </w:tcPr>
          <w:p>
            <w:pPr>
              <w:spacing w:after="0"/>
            </w:pPr>
            <w:r/>
            <w:r>
              <w:rPr>
                <w:b w:val="0"/>
                <w:sz w:val="18"/>
              </w:rPr>
              <w:t>System should provide a public guideline value search by area with map, without login</w:t>
            </w:r>
          </w:p>
        </w:tc>
        <w:tc>
          <w:tcPr>
            <w:tcW w:type="dxa" w:w="864"/>
          </w:tcPr>
          <w:p>
            <w:pPr>
              <w:spacing w:after="0"/>
            </w:pPr>
            <w:r/>
            <w:r>
              <w:rPr>
                <w:b w:val="0"/>
                <w:sz w:val="18"/>
              </w:rPr>
              <w:t>Should</w:t>
            </w:r>
          </w:p>
        </w:tc>
        <w:tc>
          <w:tcPr>
            <w:tcW w:type="dxa" w:w="2736"/>
          </w:tcPr>
          <w:p>
            <w:pPr>
              <w:spacing w:after="0"/>
            </w:pPr>
            <w:r/>
            <w:r>
              <w:rPr>
                <w:b w:val="0"/>
                <w:sz w:val="18"/>
              </w:rPr>
              <w:t>Shows Active version and effective date</w:t>
            </w:r>
          </w:p>
        </w:tc>
      </w:tr>
      <w:tr>
        <w:tc>
          <w:tcPr>
            <w:tcW w:type="dxa" w:w="1440"/>
          </w:tcPr>
          <w:p>
            <w:pPr>
              <w:spacing w:after="0"/>
            </w:pPr>
            <w:r/>
            <w:r>
              <w:rPr>
                <w:b w:val="0"/>
                <w:sz w:val="18"/>
              </w:rPr>
              <w:t>FR-GVC-015</w:t>
            </w:r>
          </w:p>
        </w:tc>
        <w:tc>
          <w:tcPr>
            <w:tcW w:type="dxa" w:w="5184"/>
          </w:tcPr>
          <w:p>
            <w:pPr>
              <w:spacing w:after="0"/>
            </w:pPr>
            <w:r/>
            <w:r>
              <w:rPr>
                <w:b w:val="0"/>
                <w:sz w:val="18"/>
              </w:rPr>
              <w:t>If no rate exists for the matched area / property type, system shall block automatic valuation, display "Rate not available", log a rate-gap request to CVC / DR, and allow SR-assessed value with reason [policy to be confirmed by DIGR — Valuation]</w:t>
            </w:r>
          </w:p>
        </w:tc>
        <w:tc>
          <w:tcPr>
            <w:tcW w:type="dxa" w:w="864"/>
          </w:tcPr>
          <w:p>
            <w:pPr>
              <w:spacing w:after="0"/>
            </w:pPr>
            <w:r/>
            <w:r>
              <w:rPr>
                <w:b w:val="0"/>
                <w:sz w:val="18"/>
              </w:rPr>
              <w:t>Must</w:t>
            </w:r>
          </w:p>
        </w:tc>
        <w:tc>
          <w:tcPr>
            <w:tcW w:type="dxa" w:w="2736"/>
          </w:tcPr>
          <w:p>
            <w:pPr>
              <w:spacing w:after="0"/>
            </w:pPr>
            <w:r/>
            <w:r>
              <w:rPr>
                <w:b w:val="0"/>
                <w:sz w:val="18"/>
              </w:rPr>
              <w:t>No blank or zero market value shown; rate-gap listed in FR-GVC-062</w:t>
            </w:r>
          </w:p>
        </w:tc>
      </w:tr>
    </w:tbl>
    <w:p/>
    <w:p>
      <w:pPr>
        <w:pStyle w:val="Heading3"/>
      </w:pPr>
      <w:r>
        <w:t>8.4 Valuation computation</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FR-GVC-020</w:t>
            </w:r>
          </w:p>
        </w:tc>
        <w:tc>
          <w:tcPr>
            <w:tcW w:type="dxa" w:w="5184"/>
          </w:tcPr>
          <w:p>
            <w:pPr>
              <w:spacing w:after="0"/>
            </w:pPr>
            <w:r/>
            <w:r>
              <w:rPr>
                <w:b w:val="0"/>
                <w:sz w:val="18"/>
              </w:rPr>
              <w:t>System shall compute land value as normalised extent × applicable CVC land rate in the notified unit</w:t>
            </w:r>
          </w:p>
        </w:tc>
        <w:tc>
          <w:tcPr>
            <w:tcW w:type="dxa" w:w="864"/>
          </w:tcPr>
          <w:p>
            <w:pPr>
              <w:spacing w:after="0"/>
            </w:pPr>
            <w:r/>
            <w:r>
              <w:rPr>
                <w:b w:val="0"/>
                <w:sz w:val="18"/>
              </w:rPr>
              <w:t>Must</w:t>
            </w:r>
          </w:p>
        </w:tc>
        <w:tc>
          <w:tcPr>
            <w:tcW w:type="dxa" w:w="2736"/>
          </w:tcPr>
          <w:p>
            <w:pPr>
              <w:spacing w:after="0"/>
            </w:pPr>
            <w:r/>
            <w:r>
              <w:rPr>
                <w:b w:val="0"/>
                <w:sz w:val="18"/>
              </w:rPr>
              <w:t>Unit tests for acre, gunta, cent, sq.ft, sq.m</w:t>
            </w:r>
          </w:p>
        </w:tc>
      </w:tr>
      <w:tr>
        <w:tc>
          <w:tcPr>
            <w:tcW w:type="dxa" w:w="1440"/>
          </w:tcPr>
          <w:p>
            <w:pPr>
              <w:spacing w:after="0"/>
            </w:pPr>
            <w:r/>
            <w:r>
              <w:rPr>
                <w:b w:val="0"/>
                <w:sz w:val="18"/>
              </w:rPr>
              <w:t>FR-GVC-021</w:t>
            </w:r>
          </w:p>
        </w:tc>
        <w:tc>
          <w:tcPr>
            <w:tcW w:type="dxa" w:w="5184"/>
          </w:tcPr>
          <w:p>
            <w:pPr>
              <w:spacing w:after="0"/>
            </w:pPr>
            <w:r/>
            <w:r>
              <w:rPr>
                <w:b w:val="0"/>
                <w:sz w:val="18"/>
              </w:rPr>
              <w:t>System shall compute building / structure value as built-up area × CVC building rate for the zone category and construction type, per CVC methodology</w:t>
            </w:r>
          </w:p>
        </w:tc>
        <w:tc>
          <w:tcPr>
            <w:tcW w:type="dxa" w:w="864"/>
          </w:tcPr>
          <w:p>
            <w:pPr>
              <w:spacing w:after="0"/>
            </w:pPr>
            <w:r/>
            <w:r>
              <w:rPr>
                <w:b w:val="0"/>
                <w:sz w:val="18"/>
              </w:rPr>
              <w:t>Must</w:t>
            </w:r>
          </w:p>
        </w:tc>
        <w:tc>
          <w:tcPr>
            <w:tcW w:type="dxa" w:w="2736"/>
          </w:tcPr>
          <w:p>
            <w:pPr>
              <w:spacing w:after="0"/>
            </w:pPr>
            <w:r/>
            <w:r>
              <w:rPr>
                <w:b w:val="0"/>
                <w:sz w:val="18"/>
              </w:rPr>
              <w:t>Zone category from FR-GIS-003</w:t>
            </w:r>
          </w:p>
        </w:tc>
      </w:tr>
      <w:tr>
        <w:tc>
          <w:tcPr>
            <w:tcW w:type="dxa" w:w="1440"/>
          </w:tcPr>
          <w:p>
            <w:pPr>
              <w:spacing w:after="0"/>
            </w:pPr>
            <w:r/>
            <w:r>
              <w:rPr>
                <w:b w:val="0"/>
                <w:sz w:val="18"/>
              </w:rPr>
              <w:t>FR-GVC-022</w:t>
            </w:r>
          </w:p>
        </w:tc>
        <w:tc>
          <w:tcPr>
            <w:tcW w:type="dxa" w:w="5184"/>
          </w:tcPr>
          <w:p>
            <w:pPr>
              <w:spacing w:after="0"/>
            </w:pPr>
            <w:r/>
            <w:r>
              <w:rPr>
                <w:b w:val="0"/>
                <w:sz w:val="18"/>
              </w:rPr>
              <w:t>System should value apartments / flats using undivided share of land and built-up area per CVC apartment methodology</w:t>
            </w:r>
          </w:p>
        </w:tc>
        <w:tc>
          <w:tcPr>
            <w:tcW w:type="dxa" w:w="864"/>
          </w:tcPr>
          <w:p>
            <w:pPr>
              <w:spacing w:after="0"/>
            </w:pPr>
            <w:r/>
            <w:r>
              <w:rPr>
                <w:b w:val="0"/>
                <w:sz w:val="18"/>
              </w:rPr>
              <w:t>Should</w:t>
            </w:r>
          </w:p>
        </w:tc>
        <w:tc>
          <w:tcPr>
            <w:tcW w:type="dxa" w:w="2736"/>
          </w:tcPr>
          <w:p>
            <w:pPr>
              <w:spacing w:after="0"/>
            </w:pPr>
            <w:r/>
            <w:r>
              <w:rPr>
                <w:b w:val="0"/>
                <w:sz w:val="18"/>
              </w:rPr>
              <w:t>Configurable per CVC notification</w:t>
            </w:r>
          </w:p>
        </w:tc>
      </w:tr>
      <w:tr>
        <w:tc>
          <w:tcPr>
            <w:tcW w:type="dxa" w:w="1440"/>
          </w:tcPr>
          <w:p>
            <w:pPr>
              <w:spacing w:after="0"/>
            </w:pPr>
            <w:r/>
            <w:r>
              <w:rPr>
                <w:b w:val="0"/>
                <w:sz w:val="18"/>
              </w:rPr>
              <w:t>FR-GVC-023</w:t>
            </w:r>
          </w:p>
        </w:tc>
        <w:tc>
          <w:tcPr>
            <w:tcW w:type="dxa" w:w="5184"/>
          </w:tcPr>
          <w:p>
            <w:pPr>
              <w:spacing w:after="0"/>
            </w:pPr>
            <w:r/>
            <w:r>
              <w:rPr>
                <w:b w:val="0"/>
                <w:sz w:val="18"/>
              </w:rPr>
              <w:t>System should apply additions / deductions only where notified in the Active rate version</w:t>
            </w:r>
          </w:p>
        </w:tc>
        <w:tc>
          <w:tcPr>
            <w:tcW w:type="dxa" w:w="864"/>
          </w:tcPr>
          <w:p>
            <w:pPr>
              <w:spacing w:after="0"/>
            </w:pPr>
            <w:r/>
            <w:r>
              <w:rPr>
                <w:b w:val="0"/>
                <w:sz w:val="18"/>
              </w:rPr>
              <w:t>Should</w:t>
            </w:r>
          </w:p>
        </w:tc>
        <w:tc>
          <w:tcPr>
            <w:tcW w:type="dxa" w:w="2736"/>
          </w:tcPr>
          <w:p>
            <w:pPr>
              <w:spacing w:after="0"/>
            </w:pPr>
            <w:r/>
            <w:r>
              <w:rPr>
                <w:b w:val="0"/>
                <w:sz w:val="18"/>
              </w:rPr>
              <w:t>No unnotified adjustment applied</w:t>
            </w:r>
          </w:p>
        </w:tc>
      </w:tr>
      <w:tr>
        <w:tc>
          <w:tcPr>
            <w:tcW w:type="dxa" w:w="1440"/>
          </w:tcPr>
          <w:p>
            <w:pPr>
              <w:spacing w:after="0"/>
            </w:pPr>
            <w:r/>
            <w:r>
              <w:rPr>
                <w:b w:val="0"/>
                <w:sz w:val="18"/>
              </w:rPr>
              <w:t>FR-GVC-024</w:t>
            </w:r>
          </w:p>
        </w:tc>
        <w:tc>
          <w:tcPr>
            <w:tcW w:type="dxa" w:w="5184"/>
          </w:tcPr>
          <w:p>
            <w:pPr>
              <w:spacing w:after="0"/>
            </w:pPr>
            <w:r/>
            <w:r>
              <w:rPr>
                <w:b w:val="0"/>
                <w:sz w:val="18"/>
              </w:rPr>
              <w:t>System shall display an itemised valuation breakup — each component, rate, unit, extent and rate version</w:t>
            </w:r>
          </w:p>
        </w:tc>
        <w:tc>
          <w:tcPr>
            <w:tcW w:type="dxa" w:w="864"/>
          </w:tcPr>
          <w:p>
            <w:pPr>
              <w:spacing w:after="0"/>
            </w:pPr>
            <w:r/>
            <w:r>
              <w:rPr>
                <w:b w:val="0"/>
                <w:sz w:val="18"/>
              </w:rPr>
              <w:t>Must</w:t>
            </w:r>
          </w:p>
        </w:tc>
        <w:tc>
          <w:tcPr>
            <w:tcW w:type="dxa" w:w="2736"/>
          </w:tcPr>
          <w:p>
            <w:pPr>
              <w:spacing w:after="0"/>
            </w:pPr>
            <w:r/>
            <w:r>
              <w:rPr>
                <w:b w:val="0"/>
                <w:sz w:val="18"/>
              </w:rPr>
              <w:t>Breakup shown on summary and SR screen</w:t>
            </w:r>
          </w:p>
        </w:tc>
      </w:tr>
      <w:tr>
        <w:tc>
          <w:tcPr>
            <w:tcW w:type="dxa" w:w="1440"/>
          </w:tcPr>
          <w:p>
            <w:pPr>
              <w:spacing w:after="0"/>
            </w:pPr>
            <w:r/>
            <w:r>
              <w:rPr>
                <w:b w:val="0"/>
                <w:sz w:val="18"/>
              </w:rPr>
              <w:t>FR-GVC-025</w:t>
            </w:r>
          </w:p>
        </w:tc>
        <w:tc>
          <w:tcPr>
            <w:tcW w:type="dxa" w:w="5184"/>
          </w:tcPr>
          <w:p>
            <w:pPr>
              <w:spacing w:after="0"/>
            </w:pPr>
            <w:r/>
            <w:r>
              <w:rPr>
                <w:b w:val="0"/>
                <w:sz w:val="18"/>
              </w:rPr>
              <w:t>System should round values per the department rounding rule [TBD]</w:t>
            </w:r>
          </w:p>
        </w:tc>
        <w:tc>
          <w:tcPr>
            <w:tcW w:type="dxa" w:w="864"/>
          </w:tcPr>
          <w:p>
            <w:pPr>
              <w:spacing w:after="0"/>
            </w:pPr>
            <w:r/>
            <w:r>
              <w:rPr>
                <w:b w:val="0"/>
                <w:sz w:val="18"/>
              </w:rPr>
              <w:t>Should</w:t>
            </w:r>
          </w:p>
        </w:tc>
        <w:tc>
          <w:tcPr>
            <w:tcW w:type="dxa" w:w="2736"/>
          </w:tcPr>
          <w:p>
            <w:pPr>
              <w:spacing w:after="0"/>
            </w:pPr>
            <w:r/>
            <w:r>
              <w:rPr>
                <w:b w:val="0"/>
                <w:sz w:val="18"/>
              </w:rPr>
              <w:t>Configurable</w:t>
            </w:r>
          </w:p>
        </w:tc>
      </w:tr>
      <w:tr>
        <w:tc>
          <w:tcPr>
            <w:tcW w:type="dxa" w:w="1440"/>
          </w:tcPr>
          <w:p>
            <w:pPr>
              <w:spacing w:after="0"/>
            </w:pPr>
            <w:r/>
            <w:r>
              <w:rPr>
                <w:b w:val="0"/>
                <w:sz w:val="18"/>
              </w:rPr>
              <w:t>FR-GVC-026</w:t>
            </w:r>
          </w:p>
        </w:tc>
        <w:tc>
          <w:tcPr>
            <w:tcW w:type="dxa" w:w="5184"/>
          </w:tcPr>
          <w:p>
            <w:pPr>
              <w:spacing w:after="0"/>
            </w:pPr>
            <w:r/>
            <w:r>
              <w:rPr>
                <w:b w:val="0"/>
                <w:sz w:val="18"/>
              </w:rPr>
              <w:t>System shall recompute the valuation when any property input changes before submission and invalidate stale results</w:t>
            </w:r>
          </w:p>
        </w:tc>
        <w:tc>
          <w:tcPr>
            <w:tcW w:type="dxa" w:w="864"/>
          </w:tcPr>
          <w:p>
            <w:pPr>
              <w:spacing w:after="0"/>
            </w:pPr>
            <w:r/>
            <w:r>
              <w:rPr>
                <w:b w:val="0"/>
                <w:sz w:val="18"/>
              </w:rPr>
              <w:t>Must</w:t>
            </w:r>
          </w:p>
        </w:tc>
        <w:tc>
          <w:tcPr>
            <w:tcW w:type="dxa" w:w="2736"/>
          </w:tcPr>
          <w:p>
            <w:pPr>
              <w:spacing w:after="0"/>
            </w:pPr>
            <w:r/>
            <w:r>
              <w:rPr>
                <w:b w:val="0"/>
                <w:sz w:val="18"/>
              </w:rPr>
              <w:t>Summary never shows outdated value</w:t>
            </w:r>
          </w:p>
        </w:tc>
      </w:tr>
    </w:tbl>
    <w:p/>
    <w:p>
      <w:pPr>
        <w:pStyle w:val="Heading3"/>
      </w:pPr>
      <w:r>
        <w:t>8.5 Market value determination and duty hand-off</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FR-GVC-030</w:t>
            </w:r>
          </w:p>
        </w:tc>
        <w:tc>
          <w:tcPr>
            <w:tcW w:type="dxa" w:w="5184"/>
          </w:tcPr>
          <w:p>
            <w:pPr>
              <w:spacing w:after="0"/>
            </w:pPr>
            <w:r/>
            <w:r>
              <w:rPr>
                <w:b w:val="0"/>
                <w:sz w:val="18"/>
              </w:rPr>
              <w:t>System shall capture the consideration set forth in the instrument (Sec. 27)</w:t>
            </w:r>
          </w:p>
        </w:tc>
        <w:tc>
          <w:tcPr>
            <w:tcW w:type="dxa" w:w="864"/>
          </w:tcPr>
          <w:p>
            <w:pPr>
              <w:spacing w:after="0"/>
            </w:pPr>
            <w:r/>
            <w:r>
              <w:rPr>
                <w:b w:val="0"/>
                <w:sz w:val="18"/>
              </w:rPr>
              <w:t>Must</w:t>
            </w:r>
          </w:p>
        </w:tc>
        <w:tc>
          <w:tcPr>
            <w:tcW w:type="dxa" w:w="2736"/>
          </w:tcPr>
          <w:p>
            <w:pPr>
              <w:spacing w:after="0"/>
            </w:pPr>
            <w:r/>
            <w:r>
              <w:rPr>
                <w:b w:val="0"/>
                <w:sz w:val="18"/>
              </w:rPr>
              <w:t>Mandatory for instruments with consideration; 7.1 step 9</w:t>
            </w:r>
          </w:p>
        </w:tc>
      </w:tr>
      <w:tr>
        <w:tc>
          <w:tcPr>
            <w:tcW w:type="dxa" w:w="1440"/>
          </w:tcPr>
          <w:p>
            <w:pPr>
              <w:spacing w:after="0"/>
            </w:pPr>
            <w:r/>
            <w:r>
              <w:rPr>
                <w:b w:val="0"/>
                <w:sz w:val="18"/>
              </w:rPr>
              <w:t>FR-GVC-031</w:t>
            </w:r>
          </w:p>
        </w:tc>
        <w:tc>
          <w:tcPr>
            <w:tcW w:type="dxa" w:w="5184"/>
          </w:tcPr>
          <w:p>
            <w:pPr>
              <w:spacing w:after="0"/>
            </w:pPr>
            <w:r/>
            <w:r>
              <w:rPr>
                <w:b w:val="0"/>
                <w:sz w:val="18"/>
              </w:rPr>
              <w:t>System shall set market value as the higher of guideline value and consideration and display both with the basis (Sec. 2(mm))</w:t>
            </w:r>
          </w:p>
        </w:tc>
        <w:tc>
          <w:tcPr>
            <w:tcW w:type="dxa" w:w="864"/>
          </w:tcPr>
          <w:p>
            <w:pPr>
              <w:spacing w:after="0"/>
            </w:pPr>
            <w:r/>
            <w:r>
              <w:rPr>
                <w:b w:val="0"/>
                <w:sz w:val="18"/>
              </w:rPr>
              <w:t>Must</w:t>
            </w:r>
          </w:p>
        </w:tc>
        <w:tc>
          <w:tcPr>
            <w:tcW w:type="dxa" w:w="2736"/>
          </w:tcPr>
          <w:p>
            <w:pPr>
              <w:spacing w:after="0"/>
            </w:pPr>
            <w:r/>
            <w:r>
              <w:rPr>
                <w:b w:val="0"/>
                <w:sz w:val="18"/>
              </w:rPr>
              <w:t>Basis label shown; 7.1 step 10</w:t>
            </w:r>
          </w:p>
        </w:tc>
      </w:tr>
      <w:tr>
        <w:tc>
          <w:tcPr>
            <w:tcW w:type="dxa" w:w="1440"/>
          </w:tcPr>
          <w:p>
            <w:pPr>
              <w:spacing w:after="0"/>
            </w:pPr>
            <w:r/>
            <w:r>
              <w:rPr>
                <w:b w:val="0"/>
                <w:sz w:val="18"/>
              </w:rPr>
              <w:t>FR-GVC-032</w:t>
            </w:r>
          </w:p>
        </w:tc>
        <w:tc>
          <w:tcPr>
            <w:tcW w:type="dxa" w:w="5184"/>
          </w:tcPr>
          <w:p>
            <w:pPr>
              <w:spacing w:after="0"/>
            </w:pPr>
            <w:r/>
            <w:r>
              <w:rPr>
                <w:b w:val="0"/>
                <w:sz w:val="18"/>
              </w:rPr>
              <w:t>For instruments executed by / for the State or Central Government, local authority, statutory authority or wholly Government-owned body, system shall set market value to the consideration on party-category flag with SR confirmation (Sec. 2(mm) proviso)</w:t>
            </w:r>
          </w:p>
        </w:tc>
        <w:tc>
          <w:tcPr>
            <w:tcW w:type="dxa" w:w="864"/>
          </w:tcPr>
          <w:p>
            <w:pPr>
              <w:spacing w:after="0"/>
            </w:pPr>
            <w:r/>
            <w:r>
              <w:rPr>
                <w:b w:val="0"/>
                <w:sz w:val="18"/>
              </w:rPr>
              <w:t>Must</w:t>
            </w:r>
          </w:p>
        </w:tc>
        <w:tc>
          <w:tcPr>
            <w:tcW w:type="dxa" w:w="2736"/>
          </w:tcPr>
          <w:p>
            <w:pPr>
              <w:spacing w:after="0"/>
            </w:pPr>
            <w:r/>
            <w:r>
              <w:rPr>
                <w:b w:val="0"/>
                <w:sz w:val="18"/>
              </w:rPr>
              <w:t>Flag audited; SR confirmation recorded</w:t>
            </w:r>
          </w:p>
        </w:tc>
      </w:tr>
      <w:tr>
        <w:tc>
          <w:tcPr>
            <w:tcW w:type="dxa" w:w="1440"/>
          </w:tcPr>
          <w:p>
            <w:pPr>
              <w:spacing w:after="0"/>
            </w:pPr>
            <w:r/>
            <w:r>
              <w:rPr>
                <w:b w:val="0"/>
                <w:sz w:val="18"/>
              </w:rPr>
              <w:t>FR-GVC-033</w:t>
            </w:r>
          </w:p>
        </w:tc>
        <w:tc>
          <w:tcPr>
            <w:tcW w:type="dxa" w:w="5184"/>
          </w:tcPr>
          <w:p>
            <w:pPr>
              <w:spacing w:after="0"/>
            </w:pPr>
            <w:r/>
            <w:r>
              <w:rPr>
                <w:b w:val="0"/>
                <w:sz w:val="18"/>
              </w:rPr>
              <w:t>System shall pass market value and the selected Schedule article to the stamp duty and registration fee engine and display duty and fee; Save / Proceed shall be enabled only when a valid duty and fee (or valid exemption) is returned</w:t>
            </w:r>
          </w:p>
        </w:tc>
        <w:tc>
          <w:tcPr>
            <w:tcW w:type="dxa" w:w="864"/>
          </w:tcPr>
          <w:p>
            <w:pPr>
              <w:spacing w:after="0"/>
            </w:pPr>
            <w:r/>
            <w:r>
              <w:rPr>
                <w:b w:val="0"/>
                <w:sz w:val="18"/>
              </w:rPr>
              <w:t>Must</w:t>
            </w:r>
          </w:p>
        </w:tc>
        <w:tc>
          <w:tcPr>
            <w:tcW w:type="dxa" w:w="2736"/>
          </w:tcPr>
          <w:p>
            <w:pPr>
              <w:spacing w:after="0"/>
            </w:pPr>
            <w:r/>
            <w:r>
              <w:rPr>
                <w:b w:val="0"/>
                <w:sz w:val="18"/>
              </w:rPr>
              <w:t>No zero fee with Save disabled (23369, 28596, 26292); 7.1 step 11</w:t>
            </w:r>
          </w:p>
        </w:tc>
      </w:tr>
      <w:tr>
        <w:tc>
          <w:tcPr>
            <w:tcW w:type="dxa" w:w="1440"/>
          </w:tcPr>
          <w:p>
            <w:pPr>
              <w:spacing w:after="0"/>
            </w:pPr>
            <w:r/>
            <w:r>
              <w:rPr>
                <w:b w:val="0"/>
                <w:sz w:val="18"/>
              </w:rPr>
              <w:t>FR-GVC-034</w:t>
            </w:r>
          </w:p>
        </w:tc>
        <w:tc>
          <w:tcPr>
            <w:tcW w:type="dxa" w:w="5184"/>
          </w:tcPr>
          <w:p>
            <w:pPr>
              <w:spacing w:after="0"/>
            </w:pPr>
            <w:r/>
            <w:r>
              <w:rPr>
                <w:b w:val="0"/>
                <w:sz w:val="18"/>
              </w:rPr>
              <w:t>System shall apply the valuation basis configured for each Schedule article (conveyance, gift, partition, settlement, exchange, trust, lease, power of attorney, etc.)</w:t>
            </w:r>
          </w:p>
        </w:tc>
        <w:tc>
          <w:tcPr>
            <w:tcW w:type="dxa" w:w="864"/>
          </w:tcPr>
          <w:p>
            <w:pPr>
              <w:spacing w:after="0"/>
            </w:pPr>
            <w:r/>
            <w:r>
              <w:rPr>
                <w:b w:val="0"/>
                <w:sz w:val="18"/>
              </w:rPr>
              <w:t>Must</w:t>
            </w:r>
          </w:p>
        </w:tc>
        <w:tc>
          <w:tcPr>
            <w:tcW w:type="dxa" w:w="2736"/>
          </w:tcPr>
          <w:p>
            <w:pPr>
              <w:spacing w:after="0"/>
            </w:pPr>
            <w:r/>
            <w:r>
              <w:rPr>
                <w:b w:val="0"/>
                <w:sz w:val="18"/>
              </w:rPr>
              <w:t>Trust deed valuation supported (31534); partition / gift duty correct (31257, 93306)</w:t>
            </w:r>
          </w:p>
        </w:tc>
      </w:tr>
      <w:tr>
        <w:tc>
          <w:tcPr>
            <w:tcW w:type="dxa" w:w="1440"/>
          </w:tcPr>
          <w:p>
            <w:pPr>
              <w:spacing w:after="0"/>
            </w:pPr>
            <w:r/>
            <w:r>
              <w:rPr>
                <w:b w:val="0"/>
                <w:sz w:val="18"/>
              </w:rPr>
              <w:t>FR-GVC-035</w:t>
            </w:r>
          </w:p>
        </w:tc>
        <w:tc>
          <w:tcPr>
            <w:tcW w:type="dxa" w:w="5184"/>
          </w:tcPr>
          <w:p>
            <w:pPr>
              <w:spacing w:after="0"/>
            </w:pPr>
            <w:r/>
            <w:r>
              <w:rPr>
                <w:b w:val="0"/>
                <w:sz w:val="18"/>
              </w:rPr>
              <w:t>Where an adjudicated Sec. 45-A value exists for the instrument, it shall supersede the guideline-derived value in summary and payment</w:t>
            </w:r>
          </w:p>
        </w:tc>
        <w:tc>
          <w:tcPr>
            <w:tcW w:type="dxa" w:w="864"/>
          </w:tcPr>
          <w:p>
            <w:pPr>
              <w:spacing w:after="0"/>
            </w:pPr>
            <w:r/>
            <w:r>
              <w:rPr>
                <w:b w:val="0"/>
                <w:sz w:val="18"/>
              </w:rPr>
              <w:t>Must</w:t>
            </w:r>
          </w:p>
        </w:tc>
        <w:tc>
          <w:tcPr>
            <w:tcW w:type="dxa" w:w="2736"/>
          </w:tcPr>
          <w:p>
            <w:pPr>
              <w:spacing w:after="0"/>
            </w:pPr>
            <w:r/>
            <w:r>
              <w:rPr>
                <w:b w:val="0"/>
                <w:sz w:val="18"/>
              </w:rPr>
              <w:t>Summary equals adjudicated value (10531, 31773)</w:t>
            </w:r>
          </w:p>
        </w:tc>
      </w:tr>
      <w:tr>
        <w:tc>
          <w:tcPr>
            <w:tcW w:type="dxa" w:w="1440"/>
          </w:tcPr>
          <w:p>
            <w:pPr>
              <w:spacing w:after="0"/>
            </w:pPr>
            <w:r/>
            <w:r>
              <w:rPr>
                <w:b w:val="0"/>
                <w:sz w:val="18"/>
              </w:rPr>
              <w:t>FR-GVC-036</w:t>
            </w:r>
          </w:p>
        </w:tc>
        <w:tc>
          <w:tcPr>
            <w:tcW w:type="dxa" w:w="5184"/>
          </w:tcPr>
          <w:p>
            <w:pPr>
              <w:spacing w:after="0"/>
            </w:pPr>
            <w:r/>
            <w:r>
              <w:rPr>
                <w:b w:val="0"/>
                <w:sz w:val="18"/>
              </w:rPr>
              <w:t>System shall generate a valuation summary (PDF) with property, GIS snapshot, rate version, breakup, consideration, market value, duty and fee</w:t>
            </w:r>
          </w:p>
        </w:tc>
        <w:tc>
          <w:tcPr>
            <w:tcW w:type="dxa" w:w="864"/>
          </w:tcPr>
          <w:p>
            <w:pPr>
              <w:spacing w:after="0"/>
            </w:pPr>
            <w:r/>
            <w:r>
              <w:rPr>
                <w:b w:val="0"/>
                <w:sz w:val="18"/>
              </w:rPr>
              <w:t>Must</w:t>
            </w:r>
          </w:p>
        </w:tc>
        <w:tc>
          <w:tcPr>
            <w:tcW w:type="dxa" w:w="2736"/>
          </w:tcPr>
          <w:p>
            <w:pPr>
              <w:spacing w:after="0"/>
            </w:pPr>
            <w:r/>
            <w:r>
              <w:rPr>
                <w:b w:val="0"/>
                <w:sz w:val="18"/>
              </w:rPr>
              <w:t>Downloadable by citizen and SR; 7.1 step 12</w:t>
            </w:r>
          </w:p>
        </w:tc>
      </w:tr>
      <w:tr>
        <w:tc>
          <w:tcPr>
            <w:tcW w:type="dxa" w:w="1440"/>
          </w:tcPr>
          <w:p>
            <w:pPr>
              <w:spacing w:after="0"/>
            </w:pPr>
            <w:r/>
            <w:r>
              <w:rPr>
                <w:b w:val="0"/>
                <w:sz w:val="18"/>
              </w:rPr>
              <w:t>FR-GVC-037</w:t>
            </w:r>
          </w:p>
        </w:tc>
        <w:tc>
          <w:tcPr>
            <w:tcW w:type="dxa" w:w="5184"/>
          </w:tcPr>
          <w:p>
            <w:pPr>
              <w:spacing w:after="0"/>
            </w:pPr>
            <w:r/>
            <w:r>
              <w:rPr>
                <w:b w:val="0"/>
                <w:sz w:val="18"/>
              </w:rPr>
              <w:t>Market value shall be persisted to the registered document record, index and Encumbrance Certificate data</w:t>
            </w:r>
          </w:p>
        </w:tc>
        <w:tc>
          <w:tcPr>
            <w:tcW w:type="dxa" w:w="864"/>
          </w:tcPr>
          <w:p>
            <w:pPr>
              <w:spacing w:after="0"/>
            </w:pPr>
            <w:r/>
            <w:r>
              <w:rPr>
                <w:b w:val="0"/>
                <w:sz w:val="18"/>
              </w:rPr>
              <w:t>Should</w:t>
            </w:r>
          </w:p>
        </w:tc>
        <w:tc>
          <w:tcPr>
            <w:tcW w:type="dxa" w:w="2736"/>
          </w:tcPr>
          <w:p>
            <w:pPr>
              <w:spacing w:after="0"/>
            </w:pPr>
            <w:r/>
            <w:r>
              <w:rPr>
                <w:b w:val="0"/>
                <w:sz w:val="18"/>
              </w:rPr>
              <w:t>EC shows the registered market value (18690)</w:t>
            </w:r>
          </w:p>
        </w:tc>
      </w:tr>
    </w:tbl>
    <w:p/>
    <w:p>
      <w:pPr>
        <w:pStyle w:val="Heading3"/>
      </w:pPr>
      <w:r>
        <w:t>8.6 SR verification and revaluation</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FR-GVC-040</w:t>
            </w:r>
          </w:p>
        </w:tc>
        <w:tc>
          <w:tcPr>
            <w:tcW w:type="dxa" w:w="5184"/>
          </w:tcPr>
          <w:p>
            <w:pPr>
              <w:spacing w:after="0"/>
            </w:pPr>
            <w:r/>
            <w:r>
              <w:rPr>
                <w:b w:val="0"/>
                <w:sz w:val="18"/>
              </w:rPr>
              <w:t>SR workbench shall display the valuation summary, GIS map, manual-area flags, rate version and breakup</w:t>
            </w:r>
          </w:p>
        </w:tc>
        <w:tc>
          <w:tcPr>
            <w:tcW w:type="dxa" w:w="864"/>
          </w:tcPr>
          <w:p>
            <w:pPr>
              <w:spacing w:after="0"/>
            </w:pPr>
            <w:r/>
            <w:r>
              <w:rPr>
                <w:b w:val="0"/>
                <w:sz w:val="18"/>
              </w:rPr>
              <w:t>Must</w:t>
            </w:r>
          </w:p>
        </w:tc>
        <w:tc>
          <w:tcPr>
            <w:tcW w:type="dxa" w:w="2736"/>
          </w:tcPr>
          <w:p>
            <w:pPr>
              <w:spacing w:after="0"/>
            </w:pPr>
            <w:r/>
            <w:r>
              <w:rPr>
                <w:b w:val="0"/>
                <w:sz w:val="18"/>
              </w:rPr>
              <w:t>All items visible in one view; 7.1 step 13</w:t>
            </w:r>
          </w:p>
        </w:tc>
      </w:tr>
      <w:tr>
        <w:tc>
          <w:tcPr>
            <w:tcW w:type="dxa" w:w="1440"/>
          </w:tcPr>
          <w:p>
            <w:pPr>
              <w:spacing w:after="0"/>
            </w:pPr>
            <w:r/>
            <w:r>
              <w:rPr>
                <w:b w:val="0"/>
                <w:sz w:val="18"/>
              </w:rPr>
              <w:t>FR-GVC-041</w:t>
            </w:r>
          </w:p>
        </w:tc>
        <w:tc>
          <w:tcPr>
            <w:tcW w:type="dxa" w:w="5184"/>
          </w:tcPr>
          <w:p>
            <w:pPr>
              <w:spacing w:after="0"/>
            </w:pPr>
            <w:r/>
            <w:r>
              <w:rPr>
                <w:b w:val="0"/>
                <w:sz w:val="18"/>
              </w:rPr>
              <w:t>SR shall Accept, Send back for revaluation with remarks, or Initiate Sec. 45-A reference</w:t>
            </w:r>
          </w:p>
        </w:tc>
        <w:tc>
          <w:tcPr>
            <w:tcW w:type="dxa" w:w="864"/>
          </w:tcPr>
          <w:p>
            <w:pPr>
              <w:spacing w:after="0"/>
            </w:pPr>
            <w:r/>
            <w:r>
              <w:rPr>
                <w:b w:val="0"/>
                <w:sz w:val="18"/>
              </w:rPr>
              <w:t>Must</w:t>
            </w:r>
          </w:p>
        </w:tc>
        <w:tc>
          <w:tcPr>
            <w:tcW w:type="dxa" w:w="2736"/>
          </w:tcPr>
          <w:p>
            <w:pPr>
              <w:spacing w:after="0"/>
            </w:pPr>
            <w:r/>
            <w:r>
              <w:rPr>
                <w:b w:val="0"/>
                <w:sz w:val="18"/>
              </w:rPr>
              <w:t>Decision and remarks audited</w:t>
            </w:r>
          </w:p>
        </w:tc>
      </w:tr>
      <w:tr>
        <w:tc>
          <w:tcPr>
            <w:tcW w:type="dxa" w:w="1440"/>
          </w:tcPr>
          <w:p>
            <w:pPr>
              <w:spacing w:after="0"/>
            </w:pPr>
            <w:r/>
            <w:r>
              <w:rPr>
                <w:b w:val="0"/>
                <w:sz w:val="18"/>
              </w:rPr>
              <w:t>FR-GVC-042</w:t>
            </w:r>
          </w:p>
        </w:tc>
        <w:tc>
          <w:tcPr>
            <w:tcW w:type="dxa" w:w="5184"/>
          </w:tcPr>
          <w:p>
            <w:pPr>
              <w:spacing w:after="0"/>
            </w:pPr>
            <w:r/>
            <w:r>
              <w:rPr>
                <w:b w:val="0"/>
                <w:sz w:val="18"/>
              </w:rPr>
              <w:t>Send back shall return the application to the property-features step with all data retained; SR may withdraw a send-back before the party acts</w:t>
            </w:r>
          </w:p>
        </w:tc>
        <w:tc>
          <w:tcPr>
            <w:tcW w:type="dxa" w:w="864"/>
          </w:tcPr>
          <w:p>
            <w:pPr>
              <w:spacing w:after="0"/>
            </w:pPr>
            <w:r/>
            <w:r>
              <w:rPr>
                <w:b w:val="0"/>
                <w:sz w:val="18"/>
              </w:rPr>
              <w:t>Must</w:t>
            </w:r>
          </w:p>
        </w:tc>
        <w:tc>
          <w:tcPr>
            <w:tcW w:type="dxa" w:w="2736"/>
          </w:tcPr>
          <w:p>
            <w:pPr>
              <w:spacing w:after="0"/>
            </w:pPr>
            <w:r/>
            <w:r>
              <w:rPr>
                <w:b w:val="0"/>
                <w:sz w:val="18"/>
              </w:rPr>
              <w:t>No stuck application (23267)</w:t>
            </w:r>
          </w:p>
        </w:tc>
      </w:tr>
      <w:tr>
        <w:tc>
          <w:tcPr>
            <w:tcW w:type="dxa" w:w="1440"/>
          </w:tcPr>
          <w:p>
            <w:pPr>
              <w:spacing w:after="0"/>
            </w:pPr>
            <w:r/>
            <w:r>
              <w:rPr>
                <w:b w:val="0"/>
                <w:sz w:val="18"/>
              </w:rPr>
              <w:t>FR-GVC-043</w:t>
            </w:r>
          </w:p>
        </w:tc>
        <w:tc>
          <w:tcPr>
            <w:tcW w:type="dxa" w:w="5184"/>
          </w:tcPr>
          <w:p>
            <w:pPr>
              <w:spacing w:after="0"/>
            </w:pPr>
            <w:r/>
            <w:r>
              <w:rPr>
                <w:b w:val="0"/>
                <w:sz w:val="18"/>
              </w:rPr>
              <w:t>After SR acceptance, the application shall move to payment and the next registration stage in a single atomic transition</w:t>
            </w:r>
          </w:p>
        </w:tc>
        <w:tc>
          <w:tcPr>
            <w:tcW w:type="dxa" w:w="864"/>
          </w:tcPr>
          <w:p>
            <w:pPr>
              <w:spacing w:after="0"/>
            </w:pPr>
            <w:r/>
            <w:r>
              <w:rPr>
                <w:b w:val="0"/>
                <w:sz w:val="18"/>
              </w:rPr>
              <w:t>Must</w:t>
            </w:r>
          </w:p>
        </w:tc>
        <w:tc>
          <w:tcPr>
            <w:tcW w:type="dxa" w:w="2736"/>
          </w:tcPr>
          <w:p>
            <w:pPr>
              <w:spacing w:after="0"/>
            </w:pPr>
            <w:r/>
            <w:r>
              <w:rPr>
                <w:b w:val="0"/>
                <w:sz w:val="18"/>
              </w:rPr>
              <w:t>No case where SR cannot forward after evaluation (30960, 31484)</w:t>
            </w:r>
          </w:p>
        </w:tc>
      </w:tr>
      <w:tr>
        <w:tc>
          <w:tcPr>
            <w:tcW w:type="dxa" w:w="1440"/>
          </w:tcPr>
          <w:p>
            <w:pPr>
              <w:spacing w:after="0"/>
            </w:pPr>
            <w:r/>
            <w:r>
              <w:rPr>
                <w:b w:val="0"/>
                <w:sz w:val="18"/>
              </w:rPr>
              <w:t>FR-GVC-044</w:t>
            </w:r>
          </w:p>
        </w:tc>
        <w:tc>
          <w:tcPr>
            <w:tcW w:type="dxa" w:w="5184"/>
          </w:tcPr>
          <w:p>
            <w:pPr>
              <w:spacing w:after="0"/>
            </w:pPr>
            <w:r/>
            <w:r>
              <w:rPr>
                <w:b w:val="0"/>
                <w:sz w:val="18"/>
              </w:rPr>
              <w:t>System shall retain every valuation version with actor, timestamp and reason</w:t>
            </w:r>
          </w:p>
        </w:tc>
        <w:tc>
          <w:tcPr>
            <w:tcW w:type="dxa" w:w="864"/>
          </w:tcPr>
          <w:p>
            <w:pPr>
              <w:spacing w:after="0"/>
            </w:pPr>
            <w:r/>
            <w:r>
              <w:rPr>
                <w:b w:val="0"/>
                <w:sz w:val="18"/>
              </w:rPr>
              <w:t>Must</w:t>
            </w:r>
          </w:p>
        </w:tc>
        <w:tc>
          <w:tcPr>
            <w:tcW w:type="dxa" w:w="2736"/>
          </w:tcPr>
          <w:p>
            <w:pPr>
              <w:spacing w:after="0"/>
            </w:pPr>
            <w:r/>
            <w:r>
              <w:rPr>
                <w:b w:val="0"/>
                <w:sz w:val="18"/>
              </w:rPr>
              <w:t>History viewable by SR and audit roles</w:t>
            </w:r>
          </w:p>
        </w:tc>
      </w:tr>
    </w:tbl>
    <w:p/>
    <w:p>
      <w:pPr>
        <w:pStyle w:val="Heading3"/>
      </w:pPr>
      <w:r>
        <w:t>8.7 Sec. 45-A reference — Sub-Registrar</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FR-UV-001</w:t>
            </w:r>
          </w:p>
        </w:tc>
        <w:tc>
          <w:tcPr>
            <w:tcW w:type="dxa" w:w="5184"/>
          </w:tcPr>
          <w:p>
            <w:pPr>
              <w:spacing w:after="0"/>
            </w:pPr>
            <w:r/>
            <w:r>
              <w:rPr>
                <w:b w:val="0"/>
                <w:sz w:val="18"/>
              </w:rPr>
              <w:t>Sec. 45-A reference shall be available only for instruments in the configurable Sec. 45-A(1) master (clauses (a)–(o), 3.5)</w:t>
            </w:r>
          </w:p>
        </w:tc>
        <w:tc>
          <w:tcPr>
            <w:tcW w:type="dxa" w:w="864"/>
          </w:tcPr>
          <w:p>
            <w:pPr>
              <w:spacing w:after="0"/>
            </w:pPr>
            <w:r/>
            <w:r>
              <w:rPr>
                <w:b w:val="0"/>
                <w:sz w:val="18"/>
              </w:rPr>
              <w:t>Must</w:t>
            </w:r>
          </w:p>
        </w:tc>
        <w:tc>
          <w:tcPr>
            <w:tcW w:type="dxa" w:w="2736"/>
          </w:tcPr>
          <w:p>
            <w:pPr>
              <w:spacing w:after="0"/>
            </w:pPr>
            <w:r/>
            <w:r>
              <w:rPr>
                <w:b w:val="0"/>
                <w:sz w:val="18"/>
              </w:rPr>
              <w:t>Option hidden for other instruments</w:t>
            </w:r>
          </w:p>
        </w:tc>
      </w:tr>
      <w:tr>
        <w:tc>
          <w:tcPr>
            <w:tcW w:type="dxa" w:w="1440"/>
          </w:tcPr>
          <w:p>
            <w:pPr>
              <w:spacing w:after="0"/>
            </w:pPr>
            <w:r/>
            <w:r>
              <w:rPr>
                <w:b w:val="0"/>
                <w:sz w:val="18"/>
              </w:rPr>
              <w:t>FR-UV-002</w:t>
            </w:r>
          </w:p>
        </w:tc>
        <w:tc>
          <w:tcPr>
            <w:tcW w:type="dxa" w:w="5184"/>
          </w:tcPr>
          <w:p>
            <w:pPr>
              <w:spacing w:after="0"/>
            </w:pPr>
            <w:r/>
            <w:r>
              <w:rPr>
                <w:b w:val="0"/>
                <w:sz w:val="18"/>
              </w:rPr>
              <w:t>SR shall record the estimated market value and reasons; system computes extra duty</w:t>
            </w:r>
          </w:p>
        </w:tc>
        <w:tc>
          <w:tcPr>
            <w:tcW w:type="dxa" w:w="864"/>
          </w:tcPr>
          <w:p>
            <w:pPr>
              <w:spacing w:after="0"/>
            </w:pPr>
            <w:r/>
            <w:r>
              <w:rPr>
                <w:b w:val="0"/>
                <w:sz w:val="18"/>
              </w:rPr>
              <w:t>Must</w:t>
            </w:r>
          </w:p>
        </w:tc>
        <w:tc>
          <w:tcPr>
            <w:tcW w:type="dxa" w:w="2736"/>
          </w:tcPr>
          <w:p>
            <w:pPr>
              <w:spacing w:after="0"/>
            </w:pPr>
            <w:r/>
            <w:r>
              <w:rPr>
                <w:b w:val="0"/>
                <w:sz w:val="18"/>
              </w:rPr>
              <w:t>Reasons mandatory; 7.2 step 1</w:t>
            </w:r>
          </w:p>
        </w:tc>
      </w:tr>
      <w:tr>
        <w:tc>
          <w:tcPr>
            <w:tcW w:type="dxa" w:w="1440"/>
          </w:tcPr>
          <w:p>
            <w:pPr>
              <w:spacing w:after="0"/>
            </w:pPr>
            <w:r/>
            <w:r>
              <w:rPr>
                <w:b w:val="0"/>
                <w:sz w:val="18"/>
              </w:rPr>
              <w:t>FR-UV-003</w:t>
            </w:r>
          </w:p>
        </w:tc>
        <w:tc>
          <w:tcPr>
            <w:tcW w:type="dxa" w:w="5184"/>
          </w:tcPr>
          <w:p>
            <w:pPr>
              <w:spacing w:after="0"/>
            </w:pPr>
            <w:r/>
            <w:r>
              <w:rPr>
                <w:b w:val="0"/>
                <w:sz w:val="18"/>
              </w:rPr>
              <w:t>System shall communicate the estimated value and extra duty to the parties via portal, SMS and e-mail</w:t>
            </w:r>
          </w:p>
        </w:tc>
        <w:tc>
          <w:tcPr>
            <w:tcW w:type="dxa" w:w="864"/>
          </w:tcPr>
          <w:p>
            <w:pPr>
              <w:spacing w:after="0"/>
            </w:pPr>
            <w:r/>
            <w:r>
              <w:rPr>
                <w:b w:val="0"/>
                <w:sz w:val="18"/>
              </w:rPr>
              <w:t>Must</w:t>
            </w:r>
          </w:p>
        </w:tc>
        <w:tc>
          <w:tcPr>
            <w:tcW w:type="dxa" w:w="2736"/>
          </w:tcPr>
          <w:p>
            <w:pPr>
              <w:spacing w:after="0"/>
            </w:pPr>
            <w:r/>
            <w:r>
              <w:rPr>
                <w:b w:val="0"/>
                <w:sz w:val="18"/>
              </w:rPr>
              <w:t>Delivery logged; 7.2 step 2</w:t>
            </w:r>
          </w:p>
        </w:tc>
      </w:tr>
      <w:tr>
        <w:tc>
          <w:tcPr>
            <w:tcW w:type="dxa" w:w="1440"/>
          </w:tcPr>
          <w:p>
            <w:pPr>
              <w:spacing w:after="0"/>
            </w:pPr>
            <w:r/>
            <w:r>
              <w:rPr>
                <w:b w:val="0"/>
                <w:sz w:val="18"/>
              </w:rPr>
              <w:t>FR-UV-004</w:t>
            </w:r>
          </w:p>
        </w:tc>
        <w:tc>
          <w:tcPr>
            <w:tcW w:type="dxa" w:w="5184"/>
          </w:tcPr>
          <w:p>
            <w:pPr>
              <w:spacing w:after="0"/>
            </w:pPr>
            <w:r/>
            <w:r>
              <w:rPr>
                <w:b w:val="0"/>
                <w:sz w:val="18"/>
              </w:rPr>
              <w:t>Party may pay the extra duty online, after which registration continues</w:t>
            </w:r>
          </w:p>
        </w:tc>
        <w:tc>
          <w:tcPr>
            <w:tcW w:type="dxa" w:w="864"/>
          </w:tcPr>
          <w:p>
            <w:pPr>
              <w:spacing w:after="0"/>
            </w:pPr>
            <w:r/>
            <w:r>
              <w:rPr>
                <w:b w:val="0"/>
                <w:sz w:val="18"/>
              </w:rPr>
              <w:t>Must</w:t>
            </w:r>
          </w:p>
        </w:tc>
        <w:tc>
          <w:tcPr>
            <w:tcW w:type="dxa" w:w="2736"/>
          </w:tcPr>
          <w:p>
            <w:pPr>
              <w:spacing w:after="0"/>
            </w:pPr>
            <w:r/>
            <w:r>
              <w:rPr>
                <w:b w:val="0"/>
                <w:sz w:val="18"/>
              </w:rPr>
              <w:t>Payment closes the case; 7.2 step 3</w:t>
            </w:r>
          </w:p>
        </w:tc>
      </w:tr>
      <w:tr>
        <w:tc>
          <w:tcPr>
            <w:tcW w:type="dxa" w:w="1440"/>
          </w:tcPr>
          <w:p>
            <w:pPr>
              <w:spacing w:after="0"/>
            </w:pPr>
            <w:r/>
            <w:r>
              <w:rPr>
                <w:b w:val="0"/>
                <w:sz w:val="18"/>
              </w:rPr>
              <w:t>FR-UV-005</w:t>
            </w:r>
          </w:p>
        </w:tc>
        <w:tc>
          <w:tcPr>
            <w:tcW w:type="dxa" w:w="5184"/>
          </w:tcPr>
          <w:p>
            <w:pPr>
              <w:spacing w:after="0"/>
            </w:pPr>
            <w:r/>
            <w:r>
              <w:rPr>
                <w:b w:val="0"/>
                <w:sz w:val="18"/>
              </w:rPr>
              <w:t>If the party does not pay, SR shall refer the case electronically to the DC with Form I auto-filled from the valuation record and a copy of the instrument; the document is marked Pending — Sec. 45-A</w:t>
            </w:r>
          </w:p>
        </w:tc>
        <w:tc>
          <w:tcPr>
            <w:tcW w:type="dxa" w:w="864"/>
          </w:tcPr>
          <w:p>
            <w:pPr>
              <w:spacing w:after="0"/>
            </w:pPr>
            <w:r/>
            <w:r>
              <w:rPr>
                <w:b w:val="0"/>
                <w:sz w:val="18"/>
              </w:rPr>
              <w:t>Must</w:t>
            </w:r>
          </w:p>
        </w:tc>
        <w:tc>
          <w:tcPr>
            <w:tcW w:type="dxa" w:w="2736"/>
          </w:tcPr>
          <w:p>
            <w:pPr>
              <w:spacing w:after="0"/>
            </w:pPr>
            <w:r/>
            <w:r>
              <w:rPr>
                <w:b w:val="0"/>
                <w:sz w:val="18"/>
              </w:rPr>
              <w:t>Form I generated; reference visible in DC queue (25098); 7.2 step 4</w:t>
            </w:r>
          </w:p>
        </w:tc>
      </w:tr>
      <w:tr>
        <w:tc>
          <w:tcPr>
            <w:tcW w:type="dxa" w:w="1440"/>
          </w:tcPr>
          <w:p>
            <w:pPr>
              <w:spacing w:after="0"/>
            </w:pPr>
            <w:r/>
            <w:r>
              <w:rPr>
                <w:b w:val="0"/>
                <w:sz w:val="18"/>
              </w:rPr>
              <w:t>FR-UV-006</w:t>
            </w:r>
          </w:p>
        </w:tc>
        <w:tc>
          <w:tcPr>
            <w:tcW w:type="dxa" w:w="5184"/>
          </w:tcPr>
          <w:p>
            <w:pPr>
              <w:spacing w:after="0"/>
            </w:pPr>
            <w:r/>
            <w:r>
              <w:rPr>
                <w:b w:val="0"/>
                <w:sz w:val="18"/>
              </w:rPr>
              <w:t>A document pending under Sec. 45-A shall not be completed or released until the DC order is complied with</w:t>
            </w:r>
          </w:p>
        </w:tc>
        <w:tc>
          <w:tcPr>
            <w:tcW w:type="dxa" w:w="864"/>
          </w:tcPr>
          <w:p>
            <w:pPr>
              <w:spacing w:after="0"/>
            </w:pPr>
            <w:r/>
            <w:r>
              <w:rPr>
                <w:b w:val="0"/>
                <w:sz w:val="18"/>
              </w:rPr>
              <w:t>Must</w:t>
            </w:r>
          </w:p>
        </w:tc>
        <w:tc>
          <w:tcPr>
            <w:tcW w:type="dxa" w:w="2736"/>
          </w:tcPr>
          <w:p>
            <w:pPr>
              <w:spacing w:after="0"/>
            </w:pPr>
            <w:r/>
            <w:r>
              <w:rPr>
                <w:b w:val="0"/>
                <w:sz w:val="18"/>
              </w:rPr>
              <w:t>Release action blocked</w:t>
            </w:r>
          </w:p>
        </w:tc>
      </w:tr>
    </w:tbl>
    <w:p/>
    <w:p>
      <w:pPr>
        <w:pStyle w:val="Heading3"/>
      </w:pPr>
      <w:r>
        <w:t>8.8 Deputy Commissioner determination and suo motu</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FR-UV-010</w:t>
            </w:r>
          </w:p>
        </w:tc>
        <w:tc>
          <w:tcPr>
            <w:tcW w:type="dxa" w:w="5184"/>
          </w:tcPr>
          <w:p>
            <w:pPr>
              <w:spacing w:after="0"/>
            </w:pPr>
            <w:r/>
            <w:r>
              <w:rPr>
                <w:b w:val="0"/>
                <w:sz w:val="18"/>
              </w:rPr>
              <w:t>DC workbench shall list references with Form I, instrument copy, valuation summary and ageing against 90 days</w:t>
            </w:r>
          </w:p>
        </w:tc>
        <w:tc>
          <w:tcPr>
            <w:tcW w:type="dxa" w:w="864"/>
          </w:tcPr>
          <w:p>
            <w:pPr>
              <w:spacing w:after="0"/>
            </w:pPr>
            <w:r/>
            <w:r>
              <w:rPr>
                <w:b w:val="0"/>
                <w:sz w:val="18"/>
              </w:rPr>
              <w:t>Must</w:t>
            </w:r>
          </w:p>
        </w:tc>
        <w:tc>
          <w:tcPr>
            <w:tcW w:type="dxa" w:w="2736"/>
          </w:tcPr>
          <w:p>
            <w:pPr>
              <w:spacing w:after="0"/>
            </w:pPr>
            <w:r/>
            <w:r>
              <w:rPr>
                <w:b w:val="0"/>
                <w:sz w:val="18"/>
              </w:rPr>
              <w:t>Overdue cases highlighted</w:t>
            </w:r>
          </w:p>
        </w:tc>
      </w:tr>
      <w:tr>
        <w:tc>
          <w:tcPr>
            <w:tcW w:type="dxa" w:w="1440"/>
          </w:tcPr>
          <w:p>
            <w:pPr>
              <w:spacing w:after="0"/>
            </w:pPr>
            <w:r/>
            <w:r>
              <w:rPr>
                <w:b w:val="0"/>
                <w:sz w:val="18"/>
              </w:rPr>
              <w:t>FR-UV-011</w:t>
            </w:r>
          </w:p>
        </w:tc>
        <w:tc>
          <w:tcPr>
            <w:tcW w:type="dxa" w:w="5184"/>
          </w:tcPr>
          <w:p>
            <w:pPr>
              <w:spacing w:after="0"/>
            </w:pPr>
            <w:r/>
            <w:r>
              <w:rPr>
                <w:b w:val="0"/>
                <w:sz w:val="18"/>
              </w:rPr>
              <w:t>DC shall issue notice of hearing, schedule hearings and record proceedings and evidence</w:t>
            </w:r>
          </w:p>
        </w:tc>
        <w:tc>
          <w:tcPr>
            <w:tcW w:type="dxa" w:w="864"/>
          </w:tcPr>
          <w:p>
            <w:pPr>
              <w:spacing w:after="0"/>
            </w:pPr>
            <w:r/>
            <w:r>
              <w:rPr>
                <w:b w:val="0"/>
                <w:sz w:val="18"/>
              </w:rPr>
              <w:t>Must</w:t>
            </w:r>
          </w:p>
        </w:tc>
        <w:tc>
          <w:tcPr>
            <w:tcW w:type="dxa" w:w="2736"/>
          </w:tcPr>
          <w:p>
            <w:pPr>
              <w:spacing w:after="0"/>
            </w:pPr>
            <w:r/>
            <w:r>
              <w:rPr>
                <w:b w:val="0"/>
                <w:sz w:val="18"/>
              </w:rPr>
              <w:t>Notice sent via FR-GVC-051; 7.2 step 5</w:t>
            </w:r>
          </w:p>
        </w:tc>
      </w:tr>
      <w:tr>
        <w:tc>
          <w:tcPr>
            <w:tcW w:type="dxa" w:w="1440"/>
          </w:tcPr>
          <w:p>
            <w:pPr>
              <w:spacing w:after="0"/>
            </w:pPr>
            <w:r/>
            <w:r>
              <w:rPr>
                <w:b w:val="0"/>
                <w:sz w:val="18"/>
              </w:rPr>
              <w:t>FR-UV-012</w:t>
            </w:r>
          </w:p>
        </w:tc>
        <w:tc>
          <w:tcPr>
            <w:tcW w:type="dxa" w:w="5184"/>
          </w:tcPr>
          <w:p>
            <w:pPr>
              <w:spacing w:after="0"/>
            </w:pPr>
            <w:r/>
            <w:r>
              <w:rPr>
                <w:b w:val="0"/>
                <w:sz w:val="18"/>
              </w:rPr>
              <w:t>DC shall pass an order determining market value and duty, digitally signed; the order is communicated to the party and a copy sent to the SR (Sec. 45-A(4))</w:t>
            </w:r>
          </w:p>
        </w:tc>
        <w:tc>
          <w:tcPr>
            <w:tcW w:type="dxa" w:w="864"/>
          </w:tcPr>
          <w:p>
            <w:pPr>
              <w:spacing w:after="0"/>
            </w:pPr>
            <w:r/>
            <w:r>
              <w:rPr>
                <w:b w:val="0"/>
                <w:sz w:val="18"/>
              </w:rPr>
              <w:t>Must</w:t>
            </w:r>
          </w:p>
        </w:tc>
        <w:tc>
          <w:tcPr>
            <w:tcW w:type="dxa" w:w="2736"/>
          </w:tcPr>
          <w:p>
            <w:pPr>
              <w:spacing w:after="0"/>
            </w:pPr>
            <w:r/>
            <w:r>
              <w:rPr>
                <w:b w:val="0"/>
                <w:sz w:val="18"/>
              </w:rPr>
              <w:t>Order PDF in party and SR views; 7.2 steps 6–7</w:t>
            </w:r>
          </w:p>
        </w:tc>
      </w:tr>
      <w:tr>
        <w:tc>
          <w:tcPr>
            <w:tcW w:type="dxa" w:w="1440"/>
          </w:tcPr>
          <w:p>
            <w:pPr>
              <w:spacing w:after="0"/>
            </w:pPr>
            <w:r/>
            <w:r>
              <w:rPr>
                <w:b w:val="0"/>
                <w:sz w:val="18"/>
              </w:rPr>
              <w:t>FR-UV-013</w:t>
            </w:r>
          </w:p>
        </w:tc>
        <w:tc>
          <w:tcPr>
            <w:tcW w:type="dxa" w:w="5184"/>
          </w:tcPr>
          <w:p>
            <w:pPr>
              <w:spacing w:after="0"/>
            </w:pPr>
            <w:r/>
            <w:r>
              <w:rPr>
                <w:b w:val="0"/>
                <w:sz w:val="18"/>
              </w:rPr>
              <w:t>DC may initiate suo motu examination of a registered instrument within two years from the date of registration, if not already referred; system enforces the window and excludes instruments registered before the 1975 amendment</w:t>
            </w:r>
          </w:p>
        </w:tc>
        <w:tc>
          <w:tcPr>
            <w:tcW w:type="dxa" w:w="864"/>
          </w:tcPr>
          <w:p>
            <w:pPr>
              <w:spacing w:after="0"/>
            </w:pPr>
            <w:r/>
            <w:r>
              <w:rPr>
                <w:b w:val="0"/>
                <w:sz w:val="18"/>
              </w:rPr>
              <w:t>Must</w:t>
            </w:r>
          </w:p>
        </w:tc>
        <w:tc>
          <w:tcPr>
            <w:tcW w:type="dxa" w:w="2736"/>
          </w:tcPr>
          <w:p>
            <w:pPr>
              <w:spacing w:after="0"/>
            </w:pPr>
            <w:r/>
            <w:r>
              <w:rPr>
                <w:b w:val="0"/>
                <w:sz w:val="18"/>
              </w:rPr>
              <w:t>Outside window blocked (Sec. 45-A(3))</w:t>
            </w:r>
          </w:p>
        </w:tc>
      </w:tr>
      <w:tr>
        <w:tc>
          <w:tcPr>
            <w:tcW w:type="dxa" w:w="1440"/>
          </w:tcPr>
          <w:p>
            <w:pPr>
              <w:spacing w:after="0"/>
            </w:pPr>
            <w:r/>
            <w:r>
              <w:rPr>
                <w:b w:val="0"/>
                <w:sz w:val="18"/>
              </w:rPr>
              <w:t>FR-UV-014</w:t>
            </w:r>
          </w:p>
        </w:tc>
        <w:tc>
          <w:tcPr>
            <w:tcW w:type="dxa" w:w="5184"/>
          </w:tcPr>
          <w:p>
            <w:pPr>
              <w:spacing w:after="0"/>
            </w:pPr>
            <w:r/>
            <w:r>
              <w:rPr>
                <w:b w:val="0"/>
                <w:sz w:val="18"/>
              </w:rPr>
              <w:t>The adjudicated value shall be locked on the valuation record and shown to SR and citizen</w:t>
            </w:r>
          </w:p>
        </w:tc>
        <w:tc>
          <w:tcPr>
            <w:tcW w:type="dxa" w:w="864"/>
          </w:tcPr>
          <w:p>
            <w:pPr>
              <w:spacing w:after="0"/>
            </w:pPr>
            <w:r/>
            <w:r>
              <w:rPr>
                <w:b w:val="0"/>
                <w:sz w:val="18"/>
              </w:rPr>
              <w:t>Must</w:t>
            </w:r>
          </w:p>
        </w:tc>
        <w:tc>
          <w:tcPr>
            <w:tcW w:type="dxa" w:w="2736"/>
          </w:tcPr>
          <w:p>
            <w:pPr>
              <w:spacing w:after="0"/>
            </w:pPr>
            <w:r/>
            <w:r>
              <w:rPr>
                <w:b w:val="0"/>
                <w:sz w:val="18"/>
              </w:rPr>
              <w:t>Feeds FR-GVC-035</w:t>
            </w:r>
          </w:p>
        </w:tc>
      </w:tr>
    </w:tbl>
    <w:p/>
    <w:p>
      <w:pPr>
        <w:pStyle w:val="Heading3"/>
      </w:pPr>
      <w:r>
        <w:t>8.9 Appeal, duty difference, interest and refund</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FR-UV-020</w:t>
            </w:r>
          </w:p>
        </w:tc>
        <w:tc>
          <w:tcPr>
            <w:tcW w:type="dxa" w:w="5184"/>
          </w:tcPr>
          <w:p>
            <w:pPr>
              <w:spacing w:after="0"/>
            </w:pPr>
            <w:r/>
            <w:r>
              <w:rPr>
                <w:b w:val="0"/>
                <w:sz w:val="18"/>
              </w:rPr>
              <w:t>Party may file an appeal to the Regional Commissioner online; the appeal is admitted only after deposit of 50% of the duty difference</w:t>
            </w:r>
          </w:p>
        </w:tc>
        <w:tc>
          <w:tcPr>
            <w:tcW w:type="dxa" w:w="864"/>
          </w:tcPr>
          <w:p>
            <w:pPr>
              <w:spacing w:after="0"/>
            </w:pPr>
            <w:r/>
            <w:r>
              <w:rPr>
                <w:b w:val="0"/>
                <w:sz w:val="18"/>
              </w:rPr>
              <w:t>Must</w:t>
            </w:r>
          </w:p>
        </w:tc>
        <w:tc>
          <w:tcPr>
            <w:tcW w:type="dxa" w:w="2736"/>
          </w:tcPr>
          <w:p>
            <w:pPr>
              <w:spacing w:after="0"/>
            </w:pPr>
            <w:r/>
            <w:r>
              <w:rPr>
                <w:b w:val="0"/>
                <w:sz w:val="18"/>
              </w:rPr>
              <w:t>Appeal blocked without deposit; 7.2 step 9</w:t>
            </w:r>
          </w:p>
        </w:tc>
      </w:tr>
      <w:tr>
        <w:tc>
          <w:tcPr>
            <w:tcW w:type="dxa" w:w="1440"/>
          </w:tcPr>
          <w:p>
            <w:pPr>
              <w:spacing w:after="0"/>
            </w:pPr>
            <w:r/>
            <w:r>
              <w:rPr>
                <w:b w:val="0"/>
                <w:sz w:val="18"/>
              </w:rPr>
              <w:t>FR-UV-021</w:t>
            </w:r>
          </w:p>
        </w:tc>
        <w:tc>
          <w:tcPr>
            <w:tcW w:type="dxa" w:w="5184"/>
          </w:tcPr>
          <w:p>
            <w:pPr>
              <w:spacing w:after="0"/>
            </w:pPr>
            <w:r/>
            <w:r>
              <w:rPr>
                <w:b w:val="0"/>
                <w:sz w:val="18"/>
              </w:rPr>
              <w:t>Appellate authority shall decide the value or remand to the DC</w:t>
            </w:r>
          </w:p>
        </w:tc>
        <w:tc>
          <w:tcPr>
            <w:tcW w:type="dxa" w:w="864"/>
          </w:tcPr>
          <w:p>
            <w:pPr>
              <w:spacing w:after="0"/>
            </w:pPr>
            <w:r/>
            <w:r>
              <w:rPr>
                <w:b w:val="0"/>
                <w:sz w:val="18"/>
              </w:rPr>
              <w:t>Must</w:t>
            </w:r>
          </w:p>
        </w:tc>
        <w:tc>
          <w:tcPr>
            <w:tcW w:type="dxa" w:w="2736"/>
          </w:tcPr>
          <w:p>
            <w:pPr>
              <w:spacing w:after="0"/>
            </w:pPr>
            <w:r/>
            <w:r>
              <w:rPr>
                <w:b w:val="0"/>
                <w:sz w:val="18"/>
              </w:rPr>
              <w:t>Remand returns case to Under inquiry; 7.2 step 10</w:t>
            </w:r>
          </w:p>
        </w:tc>
      </w:tr>
      <w:tr>
        <w:tc>
          <w:tcPr>
            <w:tcW w:type="dxa" w:w="1440"/>
          </w:tcPr>
          <w:p>
            <w:pPr>
              <w:spacing w:after="0"/>
            </w:pPr>
            <w:r/>
            <w:r>
              <w:rPr>
                <w:b w:val="0"/>
                <w:sz w:val="18"/>
              </w:rPr>
              <w:t>FR-UV-022</w:t>
            </w:r>
          </w:p>
        </w:tc>
        <w:tc>
          <w:tcPr>
            <w:tcW w:type="dxa" w:w="5184"/>
          </w:tcPr>
          <w:p>
            <w:pPr>
              <w:spacing w:after="0"/>
            </w:pPr>
            <w:r/>
            <w:r>
              <w:rPr>
                <w:b w:val="0"/>
                <w:sz w:val="18"/>
              </w:rPr>
              <w:t>System shall compute the duty difference and 12% p.a. interest when unpaid beyond 90 days of the DC order or 60 days of the appellate order, applying the interest cut-off dates (DC order: instruments executed before 31-03-2006 exempt; appeal: before 18-08-1999 exempt)</w:t>
            </w:r>
          </w:p>
        </w:tc>
        <w:tc>
          <w:tcPr>
            <w:tcW w:type="dxa" w:w="864"/>
          </w:tcPr>
          <w:p>
            <w:pPr>
              <w:spacing w:after="0"/>
            </w:pPr>
            <w:r/>
            <w:r>
              <w:rPr>
                <w:b w:val="0"/>
                <w:sz w:val="18"/>
              </w:rPr>
              <w:t>Must</w:t>
            </w:r>
          </w:p>
        </w:tc>
        <w:tc>
          <w:tcPr>
            <w:tcW w:type="dxa" w:w="2736"/>
          </w:tcPr>
          <w:p>
            <w:pPr>
              <w:spacing w:after="0"/>
            </w:pPr>
            <w:r/>
            <w:r>
              <w:rPr>
                <w:b w:val="0"/>
                <w:sz w:val="18"/>
              </w:rPr>
              <w:t>Interest calculation unit-tested for each cut-off; 7.2 step 11</w:t>
            </w:r>
          </w:p>
        </w:tc>
      </w:tr>
      <w:tr>
        <w:tc>
          <w:tcPr>
            <w:tcW w:type="dxa" w:w="1440"/>
          </w:tcPr>
          <w:p>
            <w:pPr>
              <w:spacing w:after="0"/>
            </w:pPr>
            <w:r/>
            <w:r>
              <w:rPr>
                <w:b w:val="0"/>
                <w:sz w:val="18"/>
              </w:rPr>
              <w:t>FR-UV-023</w:t>
            </w:r>
          </w:p>
        </w:tc>
        <w:tc>
          <w:tcPr>
            <w:tcW w:type="dxa" w:w="5184"/>
          </w:tcPr>
          <w:p>
            <w:pPr>
              <w:spacing w:after="0"/>
            </w:pPr>
            <w:r/>
            <w:r>
              <w:rPr>
                <w:b w:val="0"/>
                <w:sz w:val="18"/>
              </w:rPr>
              <w:t>System shall refund the deposit where the duty borne is found sufficient after appeal or remand</w:t>
            </w:r>
          </w:p>
        </w:tc>
        <w:tc>
          <w:tcPr>
            <w:tcW w:type="dxa" w:w="864"/>
          </w:tcPr>
          <w:p>
            <w:pPr>
              <w:spacing w:after="0"/>
            </w:pPr>
            <w:r/>
            <w:r>
              <w:rPr>
                <w:b w:val="0"/>
                <w:sz w:val="18"/>
              </w:rPr>
              <w:t>Must</w:t>
            </w:r>
          </w:p>
        </w:tc>
        <w:tc>
          <w:tcPr>
            <w:tcW w:type="dxa" w:w="2736"/>
          </w:tcPr>
          <w:p>
            <w:pPr>
              <w:spacing w:after="0"/>
            </w:pPr>
            <w:r/>
            <w:r>
              <w:rPr>
                <w:b w:val="0"/>
                <w:sz w:val="18"/>
              </w:rPr>
              <w:t>Refund instruction generated</w:t>
            </w:r>
          </w:p>
        </w:tc>
      </w:tr>
      <w:tr>
        <w:tc>
          <w:tcPr>
            <w:tcW w:type="dxa" w:w="1440"/>
          </w:tcPr>
          <w:p>
            <w:pPr>
              <w:spacing w:after="0"/>
            </w:pPr>
            <w:r/>
            <w:r>
              <w:rPr>
                <w:b w:val="0"/>
                <w:sz w:val="18"/>
              </w:rPr>
              <w:t>FR-UV-024</w:t>
            </w:r>
          </w:p>
        </w:tc>
        <w:tc>
          <w:tcPr>
            <w:tcW w:type="dxa" w:w="5184"/>
          </w:tcPr>
          <w:p>
            <w:pPr>
              <w:spacing w:after="0"/>
            </w:pPr>
            <w:r/>
            <w:r>
              <w:rPr>
                <w:b w:val="0"/>
                <w:sz w:val="18"/>
              </w:rPr>
              <w:t>Party shall pay the difference and interest online; on success the SR releases the pending document or closes the suo motu case</w:t>
            </w:r>
          </w:p>
        </w:tc>
        <w:tc>
          <w:tcPr>
            <w:tcW w:type="dxa" w:w="864"/>
          </w:tcPr>
          <w:p>
            <w:pPr>
              <w:spacing w:after="0"/>
            </w:pPr>
            <w:r/>
            <w:r>
              <w:rPr>
                <w:b w:val="0"/>
                <w:sz w:val="18"/>
              </w:rPr>
              <w:t>Must</w:t>
            </w:r>
          </w:p>
        </w:tc>
        <w:tc>
          <w:tcPr>
            <w:tcW w:type="dxa" w:w="2736"/>
          </w:tcPr>
          <w:p>
            <w:pPr>
              <w:spacing w:after="0"/>
            </w:pPr>
            <w:r/>
            <w:r>
              <w:rPr>
                <w:b w:val="0"/>
                <w:sz w:val="18"/>
              </w:rPr>
              <w:t>Undervaluation payment succeeds (31071); 7.2 steps 12–13</w:t>
            </w:r>
          </w:p>
        </w:tc>
      </w:tr>
      <w:tr>
        <w:tc>
          <w:tcPr>
            <w:tcW w:type="dxa" w:w="1440"/>
          </w:tcPr>
          <w:p>
            <w:pPr>
              <w:spacing w:after="0"/>
            </w:pPr>
            <w:r/>
            <w:r>
              <w:rPr>
                <w:b w:val="0"/>
                <w:sz w:val="18"/>
              </w:rPr>
              <w:t>FR-UV-025</w:t>
            </w:r>
          </w:p>
        </w:tc>
        <w:tc>
          <w:tcPr>
            <w:tcW w:type="dxa" w:w="5184"/>
          </w:tcPr>
          <w:p>
            <w:pPr>
              <w:spacing w:after="0"/>
            </w:pPr>
            <w:r/>
            <w:r>
              <w:rPr>
                <w:b w:val="0"/>
                <w:sz w:val="18"/>
              </w:rPr>
              <w:t>The workflow shall follow the Undervaluation Rules as amended by RD 264 MUNOMU 99; no provisional / Rule 6 path</w:t>
            </w:r>
          </w:p>
        </w:tc>
        <w:tc>
          <w:tcPr>
            <w:tcW w:type="dxa" w:w="864"/>
          </w:tcPr>
          <w:p>
            <w:pPr>
              <w:spacing w:after="0"/>
            </w:pPr>
            <w:r/>
            <w:r>
              <w:rPr>
                <w:b w:val="0"/>
                <w:sz w:val="18"/>
              </w:rPr>
              <w:t>Must</w:t>
            </w:r>
          </w:p>
        </w:tc>
        <w:tc>
          <w:tcPr>
            <w:tcW w:type="dxa" w:w="2736"/>
          </w:tcPr>
          <w:p>
            <w:pPr>
              <w:spacing w:after="0"/>
            </w:pPr>
            <w:r/>
            <w:r>
              <w:rPr>
                <w:b w:val="0"/>
                <w:sz w:val="18"/>
              </w:rPr>
              <w:t>No provisional status present</w:t>
            </w:r>
          </w:p>
        </w:tc>
      </w:tr>
      <w:tr>
        <w:tc>
          <w:tcPr>
            <w:tcW w:type="dxa" w:w="1440"/>
          </w:tcPr>
          <w:p>
            <w:pPr>
              <w:spacing w:after="0"/>
            </w:pPr>
            <w:r/>
            <w:r>
              <w:rPr>
                <w:b w:val="0"/>
                <w:sz w:val="18"/>
              </w:rPr>
              <w:t>FR-UV-026</w:t>
            </w:r>
          </w:p>
        </w:tc>
        <w:tc>
          <w:tcPr>
            <w:tcW w:type="dxa" w:w="5184"/>
          </w:tcPr>
          <w:p>
            <w:pPr>
              <w:spacing w:after="0"/>
            </w:pPr>
            <w:r/>
            <w:r>
              <w:rPr>
                <w:b w:val="0"/>
                <w:sz w:val="18"/>
              </w:rPr>
              <w:t>Pending Sec. 45-A cases from Kaveri 1.0 / 2.0 shall be migrated with their current status, orders and payments</w:t>
            </w:r>
          </w:p>
        </w:tc>
        <w:tc>
          <w:tcPr>
            <w:tcW w:type="dxa" w:w="864"/>
          </w:tcPr>
          <w:p>
            <w:pPr>
              <w:spacing w:after="0"/>
            </w:pPr>
            <w:r/>
            <w:r>
              <w:rPr>
                <w:b w:val="0"/>
                <w:sz w:val="18"/>
              </w:rPr>
              <w:t>Must</w:t>
            </w:r>
          </w:p>
        </w:tc>
        <w:tc>
          <w:tcPr>
            <w:tcW w:type="dxa" w:w="2736"/>
          </w:tcPr>
          <w:p>
            <w:pPr>
              <w:spacing w:after="0"/>
            </w:pPr>
            <w:r/>
            <w:r>
              <w:rPr>
                <w:b w:val="0"/>
                <w:sz w:val="18"/>
              </w:rPr>
              <w:t>Migrated cases actionable (27140)</w:t>
            </w:r>
          </w:p>
        </w:tc>
      </w:tr>
    </w:tbl>
    <w:p/>
    <w:p>
      <w:pPr>
        <w:pStyle w:val="Heading3"/>
      </w:pPr>
      <w:r>
        <w:t>8.10 GIS and valuation master alignment</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FR-GIS-020</w:t>
            </w:r>
          </w:p>
        </w:tc>
        <w:tc>
          <w:tcPr>
            <w:tcW w:type="dxa" w:w="5184"/>
          </w:tcPr>
          <w:p>
            <w:pPr>
              <w:spacing w:after="0"/>
            </w:pPr>
            <w:r/>
            <w:r>
              <w:rPr>
                <w:b w:val="0"/>
                <w:sz w:val="18"/>
              </w:rPr>
              <w:t>System shall maintain crosswalk masters linking Kaveri village / ward / road / survey codes, CVC valuation areas and KSRSAC layer identifiers</w:t>
            </w:r>
          </w:p>
        </w:tc>
        <w:tc>
          <w:tcPr>
            <w:tcW w:type="dxa" w:w="864"/>
          </w:tcPr>
          <w:p>
            <w:pPr>
              <w:spacing w:after="0"/>
            </w:pPr>
            <w:r/>
            <w:r>
              <w:rPr>
                <w:b w:val="0"/>
                <w:sz w:val="18"/>
              </w:rPr>
              <w:t>Must</w:t>
            </w:r>
          </w:p>
        </w:tc>
        <w:tc>
          <w:tcPr>
            <w:tcW w:type="dxa" w:w="2736"/>
          </w:tcPr>
          <w:p>
            <w:pPr>
              <w:spacing w:after="0"/>
            </w:pPr>
            <w:r/>
            <w:r>
              <w:rPr>
                <w:b w:val="0"/>
                <w:sz w:val="18"/>
              </w:rPr>
              <w:t>Every active CVC area mapped or listed as exception</w:t>
            </w:r>
          </w:p>
        </w:tc>
      </w:tr>
      <w:tr>
        <w:tc>
          <w:tcPr>
            <w:tcW w:type="dxa" w:w="1440"/>
          </w:tcPr>
          <w:p>
            <w:pPr>
              <w:spacing w:after="0"/>
            </w:pPr>
            <w:r/>
            <w:r>
              <w:rPr>
                <w:b w:val="0"/>
                <w:sz w:val="18"/>
              </w:rPr>
              <w:t>FR-GIS-021</w:t>
            </w:r>
          </w:p>
        </w:tc>
        <w:tc>
          <w:tcPr>
            <w:tcW w:type="dxa" w:w="5184"/>
          </w:tcPr>
          <w:p>
            <w:pPr>
              <w:spacing w:after="0"/>
            </w:pPr>
            <w:r/>
            <w:r>
              <w:rPr>
                <w:b w:val="0"/>
                <w:sz w:val="18"/>
              </w:rPr>
              <w:t>Village splits, merges and renames shall be effective-dated with history retained</w:t>
            </w:r>
          </w:p>
        </w:tc>
        <w:tc>
          <w:tcPr>
            <w:tcW w:type="dxa" w:w="864"/>
          </w:tcPr>
          <w:p>
            <w:pPr>
              <w:spacing w:after="0"/>
            </w:pPr>
            <w:r/>
            <w:r>
              <w:rPr>
                <w:b w:val="0"/>
                <w:sz w:val="18"/>
              </w:rPr>
              <w:t>Must</w:t>
            </w:r>
          </w:p>
        </w:tc>
        <w:tc>
          <w:tcPr>
            <w:tcW w:type="dxa" w:w="2736"/>
          </w:tcPr>
          <w:p>
            <w:pPr>
              <w:spacing w:after="0"/>
            </w:pPr>
            <w:r/>
            <w:r>
              <w:rPr>
                <w:b w:val="0"/>
                <w:sz w:val="18"/>
              </w:rPr>
              <w:t>Valuation by execution date uses the correct master</w:t>
            </w:r>
          </w:p>
        </w:tc>
      </w:tr>
      <w:tr>
        <w:tc>
          <w:tcPr>
            <w:tcW w:type="dxa" w:w="1440"/>
          </w:tcPr>
          <w:p>
            <w:pPr>
              <w:spacing w:after="0"/>
            </w:pPr>
            <w:r/>
            <w:r>
              <w:rPr>
                <w:b w:val="0"/>
                <w:sz w:val="18"/>
              </w:rPr>
              <w:t>FR-GIS-022</w:t>
            </w:r>
          </w:p>
        </w:tc>
        <w:tc>
          <w:tcPr>
            <w:tcW w:type="dxa" w:w="5184"/>
          </w:tcPr>
          <w:p>
            <w:pPr>
              <w:spacing w:after="0"/>
            </w:pPr>
            <w:r/>
            <w:r>
              <w:rPr>
                <w:b w:val="0"/>
                <w:sz w:val="18"/>
              </w:rPr>
              <w:t>Valuation administrator should correct road names through a maker-checker workflow</w:t>
            </w:r>
          </w:p>
        </w:tc>
        <w:tc>
          <w:tcPr>
            <w:tcW w:type="dxa" w:w="864"/>
          </w:tcPr>
          <w:p>
            <w:pPr>
              <w:spacing w:after="0"/>
            </w:pPr>
            <w:r/>
            <w:r>
              <w:rPr>
                <w:b w:val="0"/>
                <w:sz w:val="18"/>
              </w:rPr>
              <w:t>Should</w:t>
            </w:r>
          </w:p>
        </w:tc>
        <w:tc>
          <w:tcPr>
            <w:tcW w:type="dxa" w:w="2736"/>
          </w:tcPr>
          <w:p>
            <w:pPr>
              <w:spacing w:after="0"/>
            </w:pPr>
            <w:r/>
            <w:r>
              <w:rPr>
                <w:b w:val="0"/>
                <w:sz w:val="18"/>
              </w:rPr>
              <w:t>Change audited</w:t>
            </w:r>
          </w:p>
        </w:tc>
      </w:tr>
      <w:tr>
        <w:tc>
          <w:tcPr>
            <w:tcW w:type="dxa" w:w="1440"/>
          </w:tcPr>
          <w:p>
            <w:pPr>
              <w:spacing w:after="0"/>
            </w:pPr>
            <w:r/>
            <w:r>
              <w:rPr>
                <w:b w:val="0"/>
                <w:sz w:val="18"/>
              </w:rPr>
              <w:t>FR-GIS-023</w:t>
            </w:r>
          </w:p>
        </w:tc>
        <w:tc>
          <w:tcPr>
            <w:tcW w:type="dxa" w:w="5184"/>
          </w:tcPr>
          <w:p>
            <w:pPr>
              <w:spacing w:after="0"/>
            </w:pPr>
            <w:r/>
            <w:r>
              <w:rPr>
                <w:b w:val="0"/>
                <w:sz w:val="18"/>
              </w:rPr>
              <w:t>System shall produce reconciliation reports: villages without GIS polygon, CVC areas without rates, mismatched roads, failed survey fetches</w:t>
            </w:r>
          </w:p>
        </w:tc>
        <w:tc>
          <w:tcPr>
            <w:tcW w:type="dxa" w:w="864"/>
          </w:tcPr>
          <w:p>
            <w:pPr>
              <w:spacing w:after="0"/>
            </w:pPr>
            <w:r/>
            <w:r>
              <w:rPr>
                <w:b w:val="0"/>
                <w:sz w:val="18"/>
              </w:rPr>
              <w:t>Must</w:t>
            </w:r>
          </w:p>
        </w:tc>
        <w:tc>
          <w:tcPr>
            <w:tcW w:type="dxa" w:w="2736"/>
          </w:tcPr>
          <w:p>
            <w:pPr>
              <w:spacing w:after="0"/>
            </w:pPr>
            <w:r/>
            <w:r>
              <w:rPr>
                <w:b w:val="0"/>
                <w:sz w:val="18"/>
              </w:rPr>
              <w:t>Scheduled and on demand</w:t>
            </w:r>
          </w:p>
        </w:tc>
      </w:tr>
      <w:tr>
        <w:tc>
          <w:tcPr>
            <w:tcW w:type="dxa" w:w="1440"/>
          </w:tcPr>
          <w:p>
            <w:pPr>
              <w:spacing w:after="0"/>
            </w:pPr>
            <w:r/>
            <w:r>
              <w:rPr>
                <w:b w:val="0"/>
                <w:sz w:val="18"/>
              </w:rPr>
              <w:t>FR-GIS-024</w:t>
            </w:r>
          </w:p>
        </w:tc>
        <w:tc>
          <w:tcPr>
            <w:tcW w:type="dxa" w:w="5184"/>
          </w:tcPr>
          <w:p>
            <w:pPr>
              <w:spacing w:after="0"/>
            </w:pPr>
            <w:r/>
            <w:r>
              <w:rPr>
                <w:b w:val="0"/>
                <w:sz w:val="18"/>
              </w:rPr>
              <w:t>System shall synchronise KSRSAC layers on a schedule and record the layer version</w:t>
            </w:r>
          </w:p>
        </w:tc>
        <w:tc>
          <w:tcPr>
            <w:tcW w:type="dxa" w:w="864"/>
          </w:tcPr>
          <w:p>
            <w:pPr>
              <w:spacing w:after="0"/>
            </w:pPr>
            <w:r/>
            <w:r>
              <w:rPr>
                <w:b w:val="0"/>
                <w:sz w:val="18"/>
              </w:rPr>
              <w:t>Must</w:t>
            </w:r>
          </w:p>
        </w:tc>
        <w:tc>
          <w:tcPr>
            <w:tcW w:type="dxa" w:w="2736"/>
          </w:tcPr>
          <w:p>
            <w:pPr>
              <w:spacing w:after="0"/>
            </w:pPr>
            <w:r/>
            <w:r>
              <w:rPr>
                <w:b w:val="0"/>
                <w:sz w:val="18"/>
              </w:rPr>
              <w:t>Version visible in FR-GIS-008</w:t>
            </w:r>
          </w:p>
        </w:tc>
      </w:tr>
    </w:tbl>
    <w:p/>
    <w:p>
      <w:pPr>
        <w:pStyle w:val="Heading3"/>
      </w:pPr>
      <w:r>
        <w:t>8.11 Notifications</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FR-GVC-050</w:t>
            </w:r>
          </w:p>
        </w:tc>
        <w:tc>
          <w:tcPr>
            <w:tcW w:type="dxa" w:w="5184"/>
          </w:tcPr>
          <w:p>
            <w:pPr>
              <w:spacing w:after="0"/>
            </w:pPr>
            <w:r/>
            <w:r>
              <w:rPr>
                <w:b w:val="0"/>
                <w:sz w:val="18"/>
              </w:rPr>
              <w:t>SMS / e-mail on valuation sent back for revaluation and on acceptance</w:t>
            </w:r>
          </w:p>
        </w:tc>
        <w:tc>
          <w:tcPr>
            <w:tcW w:type="dxa" w:w="864"/>
          </w:tcPr>
          <w:p>
            <w:pPr>
              <w:spacing w:after="0"/>
            </w:pPr>
            <w:r/>
            <w:r>
              <w:rPr>
                <w:b w:val="0"/>
                <w:sz w:val="18"/>
              </w:rPr>
              <w:t>Should</w:t>
            </w:r>
          </w:p>
        </w:tc>
        <w:tc>
          <w:tcPr>
            <w:tcW w:type="dxa" w:w="2736"/>
          </w:tcPr>
          <w:p>
            <w:pPr>
              <w:spacing w:after="0"/>
            </w:pPr>
            <w:r/>
            <w:r>
              <w:rPr>
                <w:b w:val="0"/>
                <w:sz w:val="18"/>
              </w:rPr>
              <w:t>Bilingual EN / KN templates</w:t>
            </w:r>
          </w:p>
        </w:tc>
      </w:tr>
      <w:tr>
        <w:tc>
          <w:tcPr>
            <w:tcW w:type="dxa" w:w="1440"/>
          </w:tcPr>
          <w:p>
            <w:pPr>
              <w:spacing w:after="0"/>
            </w:pPr>
            <w:r/>
            <w:r>
              <w:rPr>
                <w:b w:val="0"/>
                <w:sz w:val="18"/>
              </w:rPr>
              <w:t>FR-GVC-051</w:t>
            </w:r>
          </w:p>
        </w:tc>
        <w:tc>
          <w:tcPr>
            <w:tcW w:type="dxa" w:w="5184"/>
          </w:tcPr>
          <w:p>
            <w:pPr>
              <w:spacing w:after="0"/>
            </w:pPr>
            <w:r/>
            <w:r>
              <w:rPr>
                <w:b w:val="0"/>
                <w:sz w:val="18"/>
              </w:rPr>
              <w:t>SMS / e-mail / portal on Sec. 45-A events: estimated value communication, reference to DC, hearing notice, order, appeal decision, remand, payment due and refund</w:t>
            </w:r>
          </w:p>
        </w:tc>
        <w:tc>
          <w:tcPr>
            <w:tcW w:type="dxa" w:w="864"/>
          </w:tcPr>
          <w:p>
            <w:pPr>
              <w:spacing w:after="0"/>
            </w:pPr>
            <w:r/>
            <w:r>
              <w:rPr>
                <w:b w:val="0"/>
                <w:sz w:val="18"/>
              </w:rPr>
              <w:t>Must</w:t>
            </w:r>
          </w:p>
        </w:tc>
        <w:tc>
          <w:tcPr>
            <w:tcW w:type="dxa" w:w="2736"/>
          </w:tcPr>
          <w:p>
            <w:pPr>
              <w:spacing w:after="0"/>
            </w:pPr>
            <w:r/>
            <w:r>
              <w:rPr>
                <w:b w:val="0"/>
                <w:sz w:val="18"/>
              </w:rPr>
              <w:t>Delivery logged</w:t>
            </w:r>
          </w:p>
        </w:tc>
      </w:tr>
      <w:tr>
        <w:tc>
          <w:tcPr>
            <w:tcW w:type="dxa" w:w="1440"/>
          </w:tcPr>
          <w:p>
            <w:pPr>
              <w:spacing w:after="0"/>
            </w:pPr>
            <w:r/>
            <w:r>
              <w:rPr>
                <w:b w:val="0"/>
                <w:sz w:val="18"/>
              </w:rPr>
              <w:t>FR-GVC-052</w:t>
            </w:r>
          </w:p>
        </w:tc>
        <w:tc>
          <w:tcPr>
            <w:tcW w:type="dxa" w:w="5184"/>
          </w:tcPr>
          <w:p>
            <w:pPr>
              <w:spacing w:after="0"/>
            </w:pPr>
            <w:r/>
            <w:r>
              <w:rPr>
                <w:b w:val="0"/>
                <w:sz w:val="18"/>
              </w:rPr>
              <w:t>Reminder before the 90-day / 60-day interest threshold</w:t>
            </w:r>
          </w:p>
        </w:tc>
        <w:tc>
          <w:tcPr>
            <w:tcW w:type="dxa" w:w="864"/>
          </w:tcPr>
          <w:p>
            <w:pPr>
              <w:spacing w:after="0"/>
            </w:pPr>
            <w:r/>
            <w:r>
              <w:rPr>
                <w:b w:val="0"/>
                <w:sz w:val="18"/>
              </w:rPr>
              <w:t>Should</w:t>
            </w:r>
          </w:p>
        </w:tc>
        <w:tc>
          <w:tcPr>
            <w:tcW w:type="dxa" w:w="2736"/>
          </w:tcPr>
          <w:p>
            <w:pPr>
              <w:spacing w:after="0"/>
            </w:pPr>
            <w:r/>
            <w:r>
              <w:rPr>
                <w:b w:val="0"/>
                <w:sz w:val="18"/>
              </w:rPr>
              <w:t>Sent at configurable days before threshold</w:t>
            </w:r>
          </w:p>
        </w:tc>
      </w:tr>
    </w:tbl>
    <w:p/>
    <w:p>
      <w:pPr>
        <w:pStyle w:val="Heading3"/>
      </w:pPr>
      <w:r>
        <w:t>8.12 Reports and MIS</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FR-GVC-060</w:t>
            </w:r>
          </w:p>
        </w:tc>
        <w:tc>
          <w:tcPr>
            <w:tcW w:type="dxa" w:w="5184"/>
          </w:tcPr>
          <w:p>
            <w:pPr>
              <w:spacing w:after="0"/>
            </w:pPr>
            <w:r/>
            <w:r>
              <w:rPr>
                <w:b w:val="0"/>
                <w:sz w:val="18"/>
              </w:rPr>
              <w:t>Valuation exceptions report — manual area selections, SR-assessed values, overrides — by office and period</w:t>
            </w:r>
          </w:p>
        </w:tc>
        <w:tc>
          <w:tcPr>
            <w:tcW w:type="dxa" w:w="864"/>
          </w:tcPr>
          <w:p>
            <w:pPr>
              <w:spacing w:after="0"/>
            </w:pPr>
            <w:r/>
            <w:r>
              <w:rPr>
                <w:b w:val="0"/>
                <w:sz w:val="18"/>
              </w:rPr>
              <w:t>Must</w:t>
            </w:r>
          </w:p>
        </w:tc>
        <w:tc>
          <w:tcPr>
            <w:tcW w:type="dxa" w:w="2736"/>
          </w:tcPr>
          <w:p>
            <w:pPr>
              <w:spacing w:after="0"/>
            </w:pPr>
            <w:r/>
            <w:r>
              <w:rPr>
                <w:b w:val="0"/>
                <w:sz w:val="18"/>
              </w:rPr>
              <w:t>Drill-down to application</w:t>
            </w:r>
          </w:p>
        </w:tc>
      </w:tr>
      <w:tr>
        <w:tc>
          <w:tcPr>
            <w:tcW w:type="dxa" w:w="1440"/>
          </w:tcPr>
          <w:p>
            <w:pPr>
              <w:spacing w:after="0"/>
            </w:pPr>
            <w:r/>
            <w:r>
              <w:rPr>
                <w:b w:val="0"/>
                <w:sz w:val="18"/>
              </w:rPr>
              <w:t>FR-GVC-061</w:t>
            </w:r>
          </w:p>
        </w:tc>
        <w:tc>
          <w:tcPr>
            <w:tcW w:type="dxa" w:w="5184"/>
          </w:tcPr>
          <w:p>
            <w:pPr>
              <w:spacing w:after="0"/>
            </w:pPr>
            <w:r/>
            <w:r>
              <w:rPr>
                <w:b w:val="0"/>
                <w:sz w:val="18"/>
              </w:rPr>
              <w:t>Send-back / revaluation statistics by SR office and reason</w:t>
            </w:r>
          </w:p>
        </w:tc>
        <w:tc>
          <w:tcPr>
            <w:tcW w:type="dxa" w:w="864"/>
          </w:tcPr>
          <w:p>
            <w:pPr>
              <w:spacing w:after="0"/>
            </w:pPr>
            <w:r/>
            <w:r>
              <w:rPr>
                <w:b w:val="0"/>
                <w:sz w:val="18"/>
              </w:rPr>
              <w:t>Should</w:t>
            </w:r>
          </w:p>
        </w:tc>
        <w:tc>
          <w:tcPr>
            <w:tcW w:type="dxa" w:w="2736"/>
          </w:tcPr>
          <w:p>
            <w:pPr>
              <w:spacing w:after="0"/>
            </w:pPr>
            <w:r/>
            <w:r>
              <w:rPr>
                <w:b w:val="0"/>
                <w:sz w:val="18"/>
              </w:rPr>
            </w:r>
          </w:p>
        </w:tc>
      </w:tr>
      <w:tr>
        <w:tc>
          <w:tcPr>
            <w:tcW w:type="dxa" w:w="1440"/>
          </w:tcPr>
          <w:p>
            <w:pPr>
              <w:spacing w:after="0"/>
            </w:pPr>
            <w:r/>
            <w:r>
              <w:rPr>
                <w:b w:val="0"/>
                <w:sz w:val="18"/>
              </w:rPr>
              <w:t>FR-GVC-062</w:t>
            </w:r>
          </w:p>
        </w:tc>
        <w:tc>
          <w:tcPr>
            <w:tcW w:type="dxa" w:w="5184"/>
          </w:tcPr>
          <w:p>
            <w:pPr>
              <w:spacing w:after="0"/>
            </w:pPr>
            <w:r/>
            <w:r>
              <w:rPr>
                <w:b w:val="0"/>
                <w:sz w:val="18"/>
              </w:rPr>
              <w:t>Rate-gap and missing-rate report for CVC / DR</w:t>
            </w:r>
          </w:p>
        </w:tc>
        <w:tc>
          <w:tcPr>
            <w:tcW w:type="dxa" w:w="864"/>
          </w:tcPr>
          <w:p>
            <w:pPr>
              <w:spacing w:after="0"/>
            </w:pPr>
            <w:r/>
            <w:r>
              <w:rPr>
                <w:b w:val="0"/>
                <w:sz w:val="18"/>
              </w:rPr>
              <w:t>Must</w:t>
            </w:r>
          </w:p>
        </w:tc>
        <w:tc>
          <w:tcPr>
            <w:tcW w:type="dxa" w:w="2736"/>
          </w:tcPr>
          <w:p>
            <w:pPr>
              <w:spacing w:after="0"/>
            </w:pPr>
            <w:r/>
            <w:r>
              <w:rPr>
                <w:b w:val="0"/>
                <w:sz w:val="18"/>
              </w:rPr>
              <w:t>Feeds CVC action list</w:t>
            </w:r>
          </w:p>
        </w:tc>
      </w:tr>
      <w:tr>
        <w:tc>
          <w:tcPr>
            <w:tcW w:type="dxa" w:w="1440"/>
          </w:tcPr>
          <w:p>
            <w:pPr>
              <w:spacing w:after="0"/>
            </w:pPr>
            <w:r/>
            <w:r>
              <w:rPr>
                <w:b w:val="0"/>
                <w:sz w:val="18"/>
              </w:rPr>
              <w:t>FR-GVC-063</w:t>
            </w:r>
          </w:p>
        </w:tc>
        <w:tc>
          <w:tcPr>
            <w:tcW w:type="dxa" w:w="5184"/>
          </w:tcPr>
          <w:p>
            <w:pPr>
              <w:spacing w:after="0"/>
            </w:pPr>
            <w:r/>
            <w:r>
              <w:rPr>
                <w:b w:val="0"/>
                <w:sz w:val="18"/>
              </w:rPr>
              <w:t>Sec. 45-A pendency report with ageing against 90 days, by DC / district</w:t>
            </w:r>
          </w:p>
        </w:tc>
        <w:tc>
          <w:tcPr>
            <w:tcW w:type="dxa" w:w="864"/>
          </w:tcPr>
          <w:p>
            <w:pPr>
              <w:spacing w:after="0"/>
            </w:pPr>
            <w:r/>
            <w:r>
              <w:rPr>
                <w:b w:val="0"/>
                <w:sz w:val="18"/>
              </w:rPr>
              <w:t>Must</w:t>
            </w:r>
          </w:p>
        </w:tc>
        <w:tc>
          <w:tcPr>
            <w:tcW w:type="dxa" w:w="2736"/>
          </w:tcPr>
          <w:p>
            <w:pPr>
              <w:spacing w:after="0"/>
            </w:pPr>
            <w:r/>
            <w:r>
              <w:rPr>
                <w:b w:val="0"/>
                <w:sz w:val="18"/>
              </w:rPr>
              <w:t>Overdue highlighted</w:t>
            </w:r>
          </w:p>
        </w:tc>
      </w:tr>
      <w:tr>
        <w:tc>
          <w:tcPr>
            <w:tcW w:type="dxa" w:w="1440"/>
          </w:tcPr>
          <w:p>
            <w:pPr>
              <w:spacing w:after="0"/>
            </w:pPr>
            <w:r/>
            <w:r>
              <w:rPr>
                <w:b w:val="0"/>
                <w:sz w:val="18"/>
              </w:rPr>
              <w:t>FR-GVC-064</w:t>
            </w:r>
          </w:p>
        </w:tc>
        <w:tc>
          <w:tcPr>
            <w:tcW w:type="dxa" w:w="5184"/>
          </w:tcPr>
          <w:p>
            <w:pPr>
              <w:spacing w:after="0"/>
            </w:pPr>
            <w:r/>
            <w:r>
              <w:rPr>
                <w:b w:val="0"/>
                <w:sz w:val="18"/>
              </w:rPr>
              <w:t>Revenue impact of Sec. 45-A — extra duty collected, difference, interest, refunds</w:t>
            </w:r>
          </w:p>
        </w:tc>
        <w:tc>
          <w:tcPr>
            <w:tcW w:type="dxa" w:w="864"/>
          </w:tcPr>
          <w:p>
            <w:pPr>
              <w:spacing w:after="0"/>
            </w:pPr>
            <w:r/>
            <w:r>
              <w:rPr>
                <w:b w:val="0"/>
                <w:sz w:val="18"/>
              </w:rPr>
              <w:t>Must</w:t>
            </w:r>
          </w:p>
        </w:tc>
        <w:tc>
          <w:tcPr>
            <w:tcW w:type="dxa" w:w="2736"/>
          </w:tcPr>
          <w:p>
            <w:pPr>
              <w:spacing w:after="0"/>
            </w:pPr>
            <w:r/>
            <w:r>
              <w:rPr>
                <w:b w:val="0"/>
                <w:sz w:val="18"/>
              </w:rPr>
              <w:t>Reconciles with payment gateway</w:t>
            </w:r>
          </w:p>
        </w:tc>
      </w:tr>
      <w:tr>
        <w:tc>
          <w:tcPr>
            <w:tcW w:type="dxa" w:w="1440"/>
          </w:tcPr>
          <w:p>
            <w:pPr>
              <w:spacing w:after="0"/>
            </w:pPr>
            <w:r/>
            <w:r>
              <w:rPr>
                <w:b w:val="0"/>
                <w:sz w:val="18"/>
              </w:rPr>
              <w:t>FR-GVC-065</w:t>
            </w:r>
          </w:p>
        </w:tc>
        <w:tc>
          <w:tcPr>
            <w:tcW w:type="dxa" w:w="5184"/>
          </w:tcPr>
          <w:p>
            <w:pPr>
              <w:spacing w:after="0"/>
            </w:pPr>
            <w:r/>
            <w:r>
              <w:rPr>
                <w:b w:val="0"/>
                <w:sz w:val="18"/>
              </w:rPr>
              <w:t>GIS match-rate dashboard — parcel found, outside village, not found — by district</w:t>
            </w:r>
          </w:p>
        </w:tc>
        <w:tc>
          <w:tcPr>
            <w:tcW w:type="dxa" w:w="864"/>
          </w:tcPr>
          <w:p>
            <w:pPr>
              <w:spacing w:after="0"/>
            </w:pPr>
            <w:r/>
            <w:r>
              <w:rPr>
                <w:b w:val="0"/>
                <w:sz w:val="18"/>
              </w:rPr>
              <w:t>Should</w:t>
            </w:r>
          </w:p>
        </w:tc>
        <w:tc>
          <w:tcPr>
            <w:tcW w:type="dxa" w:w="2736"/>
          </w:tcPr>
          <w:p>
            <w:pPr>
              <w:spacing w:after="0"/>
            </w:pPr>
            <w:r/>
            <w:r>
              <w:rPr>
                <w:b w:val="0"/>
                <w:sz w:val="18"/>
              </w:rPr>
            </w:r>
          </w:p>
        </w:tc>
      </w:tr>
    </w:tbl>
    <w:p/>
    <w:p>
      <w:pPr>
        <w:pStyle w:val="Heading3"/>
      </w:pPr>
      <w:r>
        <w:t>8.13 Business rules</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Rule ID</w:t>
            </w:r>
          </w:p>
        </w:tc>
        <w:tc>
          <w:tcPr>
            <w:tcW w:type="dxa" w:w="4176"/>
            <w:shd w:val="clear" w:color="auto" w:fill="D9E2F3"/>
          </w:tcPr>
          <w:p>
            <w:pPr>
              <w:spacing w:after="0"/>
            </w:pPr>
            <w:r/>
            <w:r>
              <w:rPr>
                <w:b/>
                <w:sz w:val="18"/>
              </w:rPr>
              <w:t>Description</w:t>
            </w:r>
          </w:p>
        </w:tc>
        <w:tc>
          <w:tcPr>
            <w:tcW w:type="dxa" w:w="1728"/>
            <w:shd w:val="clear" w:color="auto" w:fill="D9E2F3"/>
          </w:tcPr>
          <w:p>
            <w:pPr>
              <w:spacing w:after="0"/>
            </w:pPr>
            <w:r/>
            <w:r>
              <w:rPr>
                <w:b/>
                <w:sz w:val="18"/>
              </w:rPr>
              <w:t>Statutory ref</w:t>
            </w:r>
          </w:p>
        </w:tc>
        <w:tc>
          <w:tcPr>
            <w:tcW w:type="dxa" w:w="2016"/>
            <w:shd w:val="clear" w:color="auto" w:fill="D9E2F3"/>
          </w:tcPr>
          <w:p>
            <w:pPr>
              <w:spacing w:after="0"/>
            </w:pPr>
            <w:r/>
            <w:r>
              <w:rPr>
                <w:b/>
                <w:sz w:val="18"/>
              </w:rPr>
              <w:t>System enforcement</w:t>
            </w:r>
          </w:p>
        </w:tc>
      </w:tr>
      <w:tr>
        <w:tc>
          <w:tcPr>
            <w:tcW w:type="dxa" w:w="1440"/>
          </w:tcPr>
          <w:p>
            <w:pPr>
              <w:spacing w:after="0"/>
            </w:pPr>
            <w:r/>
            <w:r>
              <w:rPr>
                <w:b w:val="0"/>
                <w:sz w:val="18"/>
              </w:rPr>
              <w:t>BR-GVC-001</w:t>
            </w:r>
          </w:p>
        </w:tc>
        <w:tc>
          <w:tcPr>
            <w:tcW w:type="dxa" w:w="4176"/>
          </w:tcPr>
          <w:p>
            <w:pPr>
              <w:spacing w:after="0"/>
            </w:pPr>
            <w:r/>
            <w:r>
              <w:rPr>
                <w:b w:val="0"/>
                <w:sz w:val="18"/>
              </w:rPr>
              <w:t>Guideline rates come only from the Active CVC rate version</w:t>
            </w:r>
          </w:p>
        </w:tc>
        <w:tc>
          <w:tcPr>
            <w:tcW w:type="dxa" w:w="1728"/>
          </w:tcPr>
          <w:p>
            <w:pPr>
              <w:spacing w:after="0"/>
            </w:pPr>
            <w:r/>
            <w:r>
              <w:rPr>
                <w:b w:val="0"/>
                <w:sz w:val="18"/>
              </w:rPr>
              <w:t>Sec. 45-B</w:t>
            </w:r>
          </w:p>
        </w:tc>
        <w:tc>
          <w:tcPr>
            <w:tcW w:type="dxa" w:w="2016"/>
          </w:tcPr>
          <w:p>
            <w:pPr>
              <w:spacing w:after="0"/>
            </w:pPr>
            <w:r/>
            <w:r>
              <w:rPr>
                <w:b w:val="0"/>
                <w:sz w:val="18"/>
              </w:rPr>
              <w:t>Read-only service; FR-GVC-010</w:t>
            </w:r>
          </w:p>
        </w:tc>
      </w:tr>
      <w:tr>
        <w:tc>
          <w:tcPr>
            <w:tcW w:type="dxa" w:w="1440"/>
          </w:tcPr>
          <w:p>
            <w:pPr>
              <w:spacing w:after="0"/>
            </w:pPr>
            <w:r/>
            <w:r>
              <w:rPr>
                <w:b w:val="0"/>
                <w:sz w:val="18"/>
              </w:rPr>
              <w:t>BR-GVC-002</w:t>
            </w:r>
          </w:p>
        </w:tc>
        <w:tc>
          <w:tcPr>
            <w:tcW w:type="dxa" w:w="4176"/>
          </w:tcPr>
          <w:p>
            <w:pPr>
              <w:spacing w:after="0"/>
            </w:pPr>
            <w:r/>
            <w:r>
              <w:rPr>
                <w:b w:val="0"/>
                <w:sz w:val="18"/>
              </w:rPr>
              <w:t>Rates cannot be edited in Citizen, DEO or SR logins</w:t>
            </w:r>
          </w:p>
        </w:tc>
        <w:tc>
          <w:tcPr>
            <w:tcW w:type="dxa" w:w="1728"/>
          </w:tcPr>
          <w:p>
            <w:pPr>
              <w:spacing w:after="0"/>
            </w:pPr>
            <w:r/>
            <w:r>
              <w:rPr>
                <w:b w:val="0"/>
                <w:sz w:val="18"/>
              </w:rPr>
              <w:t>Sec. 45-B(2)</w:t>
            </w:r>
          </w:p>
        </w:tc>
        <w:tc>
          <w:tcPr>
            <w:tcW w:type="dxa" w:w="2016"/>
          </w:tcPr>
          <w:p>
            <w:pPr>
              <w:spacing w:after="0"/>
            </w:pPr>
            <w:r/>
            <w:r>
              <w:rPr>
                <w:b w:val="0"/>
                <w:sz w:val="18"/>
              </w:rPr>
              <w:t>No edit; FR-GVC-013</w:t>
            </w:r>
          </w:p>
        </w:tc>
      </w:tr>
      <w:tr>
        <w:tc>
          <w:tcPr>
            <w:tcW w:type="dxa" w:w="1440"/>
          </w:tcPr>
          <w:p>
            <w:pPr>
              <w:spacing w:after="0"/>
            </w:pPr>
            <w:r/>
            <w:r>
              <w:rPr>
                <w:b w:val="0"/>
                <w:sz w:val="18"/>
              </w:rPr>
              <w:t>BR-GVC-003</w:t>
            </w:r>
          </w:p>
        </w:tc>
        <w:tc>
          <w:tcPr>
            <w:tcW w:type="dxa" w:w="4176"/>
          </w:tcPr>
          <w:p>
            <w:pPr>
              <w:spacing w:after="0"/>
            </w:pPr>
            <w:r/>
            <w:r>
              <w:rPr>
                <w:b w:val="0"/>
                <w:sz w:val="18"/>
              </w:rPr>
              <w:t>Rate version is selected by the date of execution</w:t>
            </w:r>
          </w:p>
        </w:tc>
        <w:tc>
          <w:tcPr>
            <w:tcW w:type="dxa" w:w="1728"/>
          </w:tcPr>
          <w:p>
            <w:pPr>
              <w:spacing w:after="0"/>
            </w:pPr>
            <w:r/>
            <w:r>
              <w:rPr>
                <w:b w:val="0"/>
                <w:sz w:val="18"/>
              </w:rPr>
              <w:t>Sec. 2(mm)</w:t>
            </w:r>
          </w:p>
        </w:tc>
        <w:tc>
          <w:tcPr>
            <w:tcW w:type="dxa" w:w="2016"/>
          </w:tcPr>
          <w:p>
            <w:pPr>
              <w:spacing w:after="0"/>
            </w:pPr>
            <w:r/>
            <w:r>
              <w:rPr>
                <w:b w:val="0"/>
                <w:sz w:val="18"/>
              </w:rPr>
              <w:t>FR-GVC-011</w:t>
            </w:r>
          </w:p>
        </w:tc>
      </w:tr>
      <w:tr>
        <w:tc>
          <w:tcPr>
            <w:tcW w:type="dxa" w:w="1440"/>
          </w:tcPr>
          <w:p>
            <w:pPr>
              <w:spacing w:after="0"/>
            </w:pPr>
            <w:r/>
            <w:r>
              <w:rPr>
                <w:b w:val="0"/>
                <w:sz w:val="18"/>
              </w:rPr>
              <w:t>BR-GVC-004</w:t>
            </w:r>
          </w:p>
        </w:tc>
        <w:tc>
          <w:tcPr>
            <w:tcW w:type="dxa" w:w="4176"/>
          </w:tcPr>
          <w:p>
            <w:pPr>
              <w:spacing w:after="0"/>
            </w:pPr>
            <w:r/>
            <w:r>
              <w:rPr>
                <w:b w:val="0"/>
                <w:sz w:val="18"/>
              </w:rPr>
              <w:t>Building rate follows the GIS-derived rural / urban zone</w:t>
            </w:r>
          </w:p>
        </w:tc>
        <w:tc>
          <w:tcPr>
            <w:tcW w:type="dxa" w:w="1728"/>
          </w:tcPr>
          <w:p>
            <w:pPr>
              <w:spacing w:after="0"/>
            </w:pPr>
            <w:r/>
            <w:r>
              <w:rPr>
                <w:b w:val="0"/>
                <w:sz w:val="18"/>
              </w:rPr>
              <w:t>CVC methodology</w:t>
            </w:r>
          </w:p>
        </w:tc>
        <w:tc>
          <w:tcPr>
            <w:tcW w:type="dxa" w:w="2016"/>
          </w:tcPr>
          <w:p>
            <w:pPr>
              <w:spacing w:after="0"/>
            </w:pPr>
            <w:r/>
            <w:r>
              <w:rPr>
                <w:b w:val="0"/>
                <w:sz w:val="18"/>
              </w:rPr>
              <w:t>FR-GIS-003, FR-GVC-021</w:t>
            </w:r>
          </w:p>
        </w:tc>
      </w:tr>
      <w:tr>
        <w:tc>
          <w:tcPr>
            <w:tcW w:type="dxa" w:w="1440"/>
          </w:tcPr>
          <w:p>
            <w:pPr>
              <w:spacing w:after="0"/>
            </w:pPr>
            <w:r/>
            <w:r>
              <w:rPr>
                <w:b w:val="0"/>
                <w:sz w:val="18"/>
              </w:rPr>
              <w:t>BR-GVC-005</w:t>
            </w:r>
          </w:p>
        </w:tc>
        <w:tc>
          <w:tcPr>
            <w:tcW w:type="dxa" w:w="4176"/>
          </w:tcPr>
          <w:p>
            <w:pPr>
              <w:spacing w:after="0"/>
            </w:pPr>
            <w:r/>
            <w:r>
              <w:rPr>
                <w:b w:val="0"/>
                <w:sz w:val="18"/>
              </w:rPr>
              <w:t>Extent is converted to the base unit before rate application</w:t>
            </w:r>
          </w:p>
        </w:tc>
        <w:tc>
          <w:tcPr>
            <w:tcW w:type="dxa" w:w="1728"/>
          </w:tcPr>
          <w:p>
            <w:pPr>
              <w:spacing w:after="0"/>
            </w:pPr>
            <w:r/>
            <w:r>
              <w:rPr>
                <w:b w:val="0"/>
                <w:sz w:val="18"/>
              </w:rPr>
              <w:t>—</w:t>
            </w:r>
          </w:p>
        </w:tc>
        <w:tc>
          <w:tcPr>
            <w:tcW w:type="dxa" w:w="2016"/>
          </w:tcPr>
          <w:p>
            <w:pPr>
              <w:spacing w:after="0"/>
            </w:pPr>
            <w:r/>
            <w:r>
              <w:rPr>
                <w:b w:val="0"/>
                <w:sz w:val="18"/>
              </w:rPr>
              <w:t>FR-GVC-004, FR-GVC-020</w:t>
            </w:r>
          </w:p>
        </w:tc>
      </w:tr>
      <w:tr>
        <w:tc>
          <w:tcPr>
            <w:tcW w:type="dxa" w:w="1440"/>
          </w:tcPr>
          <w:p>
            <w:pPr>
              <w:spacing w:after="0"/>
            </w:pPr>
            <w:r/>
            <w:r>
              <w:rPr>
                <w:b w:val="0"/>
                <w:sz w:val="18"/>
              </w:rPr>
              <w:t>BR-GVC-006</w:t>
            </w:r>
          </w:p>
        </w:tc>
        <w:tc>
          <w:tcPr>
            <w:tcW w:type="dxa" w:w="4176"/>
          </w:tcPr>
          <w:p>
            <w:pPr>
              <w:spacing w:after="0"/>
            </w:pPr>
            <w:r/>
            <w:r>
              <w:rPr>
                <w:b w:val="0"/>
                <w:sz w:val="18"/>
              </w:rPr>
              <w:t>Market value = higher of guideline value and consideration, except Government-party instruments</w:t>
            </w:r>
          </w:p>
        </w:tc>
        <w:tc>
          <w:tcPr>
            <w:tcW w:type="dxa" w:w="1728"/>
          </w:tcPr>
          <w:p>
            <w:pPr>
              <w:spacing w:after="0"/>
            </w:pPr>
            <w:r/>
            <w:r>
              <w:rPr>
                <w:b w:val="0"/>
                <w:sz w:val="18"/>
              </w:rPr>
              <w:t>Sec. 2(mm)</w:t>
            </w:r>
          </w:p>
        </w:tc>
        <w:tc>
          <w:tcPr>
            <w:tcW w:type="dxa" w:w="2016"/>
          </w:tcPr>
          <w:p>
            <w:pPr>
              <w:spacing w:after="0"/>
            </w:pPr>
            <w:r/>
            <w:r>
              <w:rPr>
                <w:b w:val="0"/>
                <w:sz w:val="18"/>
              </w:rPr>
              <w:t>FR-GVC-031, FR-GVC-032</w:t>
            </w:r>
          </w:p>
        </w:tc>
      </w:tr>
      <w:tr>
        <w:tc>
          <w:tcPr>
            <w:tcW w:type="dxa" w:w="1440"/>
          </w:tcPr>
          <w:p>
            <w:pPr>
              <w:spacing w:after="0"/>
            </w:pPr>
            <w:r/>
            <w:r>
              <w:rPr>
                <w:b w:val="0"/>
                <w:sz w:val="18"/>
              </w:rPr>
              <w:t>BR-GVC-007</w:t>
            </w:r>
          </w:p>
        </w:tc>
        <w:tc>
          <w:tcPr>
            <w:tcW w:type="dxa" w:w="4176"/>
          </w:tcPr>
          <w:p>
            <w:pPr>
              <w:spacing w:after="0"/>
            </w:pPr>
            <w:r/>
            <w:r>
              <w:rPr>
                <w:b w:val="0"/>
                <w:sz w:val="18"/>
              </w:rPr>
              <w:t>Application cannot be saved / submitted without a valid computed duty and fee</w:t>
            </w:r>
          </w:p>
        </w:tc>
        <w:tc>
          <w:tcPr>
            <w:tcW w:type="dxa" w:w="1728"/>
          </w:tcPr>
          <w:p>
            <w:pPr>
              <w:spacing w:after="0"/>
            </w:pPr>
            <w:r/>
            <w:r>
              <w:rPr>
                <w:b w:val="0"/>
                <w:sz w:val="18"/>
              </w:rPr>
              <w:t>Sec. 3 + Schedule</w:t>
            </w:r>
          </w:p>
        </w:tc>
        <w:tc>
          <w:tcPr>
            <w:tcW w:type="dxa" w:w="2016"/>
          </w:tcPr>
          <w:p>
            <w:pPr>
              <w:spacing w:after="0"/>
            </w:pPr>
            <w:r/>
            <w:r>
              <w:rPr>
                <w:b w:val="0"/>
                <w:sz w:val="18"/>
              </w:rPr>
              <w:t>FR-GVC-033</w:t>
            </w:r>
          </w:p>
        </w:tc>
      </w:tr>
      <w:tr>
        <w:tc>
          <w:tcPr>
            <w:tcW w:type="dxa" w:w="1440"/>
          </w:tcPr>
          <w:p>
            <w:pPr>
              <w:spacing w:after="0"/>
            </w:pPr>
            <w:r/>
            <w:r>
              <w:rPr>
                <w:b w:val="0"/>
                <w:sz w:val="18"/>
              </w:rPr>
              <w:t>BR-GVC-008</w:t>
            </w:r>
          </w:p>
        </w:tc>
        <w:tc>
          <w:tcPr>
            <w:tcW w:type="dxa" w:w="4176"/>
          </w:tcPr>
          <w:p>
            <w:pPr>
              <w:spacing w:after="0"/>
            </w:pPr>
            <w:r/>
            <w:r>
              <w:rPr>
                <w:b w:val="0"/>
                <w:sz w:val="18"/>
              </w:rPr>
              <w:t>Manual valuation-area selection requires a reason and is flagged for SR</w:t>
            </w:r>
          </w:p>
        </w:tc>
        <w:tc>
          <w:tcPr>
            <w:tcW w:type="dxa" w:w="1728"/>
          </w:tcPr>
          <w:p>
            <w:pPr>
              <w:spacing w:after="0"/>
            </w:pPr>
            <w:r/>
            <w:r>
              <w:rPr>
                <w:b w:val="0"/>
                <w:sz w:val="18"/>
              </w:rPr>
              <w:t>Registration Rules 13–15</w:t>
            </w:r>
          </w:p>
        </w:tc>
        <w:tc>
          <w:tcPr>
            <w:tcW w:type="dxa" w:w="2016"/>
          </w:tcPr>
          <w:p>
            <w:pPr>
              <w:spacing w:after="0"/>
            </w:pPr>
            <w:r/>
            <w:r>
              <w:rPr>
                <w:b w:val="0"/>
                <w:sz w:val="18"/>
              </w:rPr>
              <w:t>FR-GIS-002</w:t>
            </w:r>
          </w:p>
        </w:tc>
      </w:tr>
      <w:tr>
        <w:tc>
          <w:tcPr>
            <w:tcW w:type="dxa" w:w="1440"/>
          </w:tcPr>
          <w:p>
            <w:pPr>
              <w:spacing w:after="0"/>
            </w:pPr>
            <w:r/>
            <w:r>
              <w:rPr>
                <w:b w:val="0"/>
                <w:sz w:val="18"/>
              </w:rPr>
              <w:t>BR-GVC-009</w:t>
            </w:r>
          </w:p>
        </w:tc>
        <w:tc>
          <w:tcPr>
            <w:tcW w:type="dxa" w:w="4176"/>
          </w:tcPr>
          <w:p>
            <w:pPr>
              <w:spacing w:after="0"/>
            </w:pPr>
            <w:r/>
            <w:r>
              <w:rPr>
                <w:b w:val="0"/>
                <w:sz w:val="18"/>
              </w:rPr>
              <w:t>Valuation is locked on registration</w:t>
            </w:r>
          </w:p>
        </w:tc>
        <w:tc>
          <w:tcPr>
            <w:tcW w:type="dxa" w:w="1728"/>
          </w:tcPr>
          <w:p>
            <w:pPr>
              <w:spacing w:after="0"/>
            </w:pPr>
            <w:r/>
            <w:r>
              <w:rPr>
                <w:b w:val="0"/>
                <w:sz w:val="18"/>
              </w:rPr>
              <w:t>—</w:t>
            </w:r>
          </w:p>
        </w:tc>
        <w:tc>
          <w:tcPr>
            <w:tcW w:type="dxa" w:w="2016"/>
          </w:tcPr>
          <w:p>
            <w:pPr>
              <w:spacing w:after="0"/>
            </w:pPr>
            <w:r/>
            <w:r>
              <w:rPr>
                <w:b w:val="0"/>
                <w:sz w:val="18"/>
              </w:rPr>
              <w:t>Status Locked; 7.1.4</w:t>
            </w:r>
          </w:p>
        </w:tc>
      </w:tr>
      <w:tr>
        <w:tc>
          <w:tcPr>
            <w:tcW w:type="dxa" w:w="1440"/>
          </w:tcPr>
          <w:p>
            <w:pPr>
              <w:spacing w:after="0"/>
            </w:pPr>
            <w:r/>
            <w:r>
              <w:rPr>
                <w:b w:val="0"/>
                <w:sz w:val="18"/>
              </w:rPr>
              <w:t>BR-UV-001</w:t>
            </w:r>
          </w:p>
        </w:tc>
        <w:tc>
          <w:tcPr>
            <w:tcW w:type="dxa" w:w="4176"/>
          </w:tcPr>
          <w:p>
            <w:pPr>
              <w:spacing w:after="0"/>
            </w:pPr>
            <w:r/>
            <w:r>
              <w:rPr>
                <w:b w:val="0"/>
                <w:sz w:val="18"/>
              </w:rPr>
              <w:t>Sec. 45-A reference only for instruments in Sec. 45-A(1)</w:t>
            </w:r>
          </w:p>
        </w:tc>
        <w:tc>
          <w:tcPr>
            <w:tcW w:type="dxa" w:w="1728"/>
          </w:tcPr>
          <w:p>
            <w:pPr>
              <w:spacing w:after="0"/>
            </w:pPr>
            <w:r/>
            <w:r>
              <w:rPr>
                <w:b w:val="0"/>
                <w:sz w:val="18"/>
              </w:rPr>
              <w:t>Sec. 45-A(1)</w:t>
            </w:r>
          </w:p>
        </w:tc>
        <w:tc>
          <w:tcPr>
            <w:tcW w:type="dxa" w:w="2016"/>
          </w:tcPr>
          <w:p>
            <w:pPr>
              <w:spacing w:after="0"/>
            </w:pPr>
            <w:r/>
            <w:r>
              <w:rPr>
                <w:b w:val="0"/>
                <w:sz w:val="18"/>
              </w:rPr>
              <w:t>FR-UV-001</w:t>
            </w:r>
          </w:p>
        </w:tc>
      </w:tr>
      <w:tr>
        <w:tc>
          <w:tcPr>
            <w:tcW w:type="dxa" w:w="1440"/>
          </w:tcPr>
          <w:p>
            <w:pPr>
              <w:spacing w:after="0"/>
            </w:pPr>
            <w:r/>
            <w:r>
              <w:rPr>
                <w:b w:val="0"/>
                <w:sz w:val="18"/>
              </w:rPr>
              <w:t>BR-UV-002</w:t>
            </w:r>
          </w:p>
        </w:tc>
        <w:tc>
          <w:tcPr>
            <w:tcW w:type="dxa" w:w="4176"/>
          </w:tcPr>
          <w:p>
            <w:pPr>
              <w:spacing w:after="0"/>
            </w:pPr>
            <w:r/>
            <w:r>
              <w:rPr>
                <w:b w:val="0"/>
                <w:sz w:val="18"/>
              </w:rPr>
              <w:t>SR estimate must record reasons</w:t>
            </w:r>
          </w:p>
        </w:tc>
        <w:tc>
          <w:tcPr>
            <w:tcW w:type="dxa" w:w="1728"/>
          </w:tcPr>
          <w:p>
            <w:pPr>
              <w:spacing w:after="0"/>
            </w:pPr>
            <w:r/>
            <w:r>
              <w:rPr>
                <w:b w:val="0"/>
                <w:sz w:val="18"/>
              </w:rPr>
              <w:t>Sec. 45-A(1)</w:t>
            </w:r>
          </w:p>
        </w:tc>
        <w:tc>
          <w:tcPr>
            <w:tcW w:type="dxa" w:w="2016"/>
          </w:tcPr>
          <w:p>
            <w:pPr>
              <w:spacing w:after="0"/>
            </w:pPr>
            <w:r/>
            <w:r>
              <w:rPr>
                <w:b w:val="0"/>
                <w:sz w:val="18"/>
              </w:rPr>
              <w:t>FR-UV-002</w:t>
            </w:r>
          </w:p>
        </w:tc>
      </w:tr>
      <w:tr>
        <w:tc>
          <w:tcPr>
            <w:tcW w:type="dxa" w:w="1440"/>
          </w:tcPr>
          <w:p>
            <w:pPr>
              <w:spacing w:after="0"/>
            </w:pPr>
            <w:r/>
            <w:r>
              <w:rPr>
                <w:b w:val="0"/>
                <w:sz w:val="18"/>
              </w:rPr>
              <w:t>BR-UV-003</w:t>
            </w:r>
          </w:p>
        </w:tc>
        <w:tc>
          <w:tcPr>
            <w:tcW w:type="dxa" w:w="4176"/>
          </w:tcPr>
          <w:p>
            <w:pPr>
              <w:spacing w:after="0"/>
            </w:pPr>
            <w:r/>
            <w:r>
              <w:rPr>
                <w:b w:val="0"/>
                <w:sz w:val="18"/>
              </w:rPr>
              <w:t>Registration stays pending until duty on the estimate is paid or the DC order is complied with</w:t>
            </w:r>
          </w:p>
        </w:tc>
        <w:tc>
          <w:tcPr>
            <w:tcW w:type="dxa" w:w="1728"/>
          </w:tcPr>
          <w:p>
            <w:pPr>
              <w:spacing w:after="0"/>
            </w:pPr>
            <w:r/>
            <w:r>
              <w:rPr>
                <w:b w:val="0"/>
                <w:sz w:val="18"/>
              </w:rPr>
              <w:t>Sec. 45-A(1)</w:t>
            </w:r>
          </w:p>
        </w:tc>
        <w:tc>
          <w:tcPr>
            <w:tcW w:type="dxa" w:w="2016"/>
          </w:tcPr>
          <w:p>
            <w:pPr>
              <w:spacing w:after="0"/>
            </w:pPr>
            <w:r/>
            <w:r>
              <w:rPr>
                <w:b w:val="0"/>
                <w:sz w:val="18"/>
              </w:rPr>
              <w:t>FR-UV-006</w:t>
            </w:r>
          </w:p>
        </w:tc>
      </w:tr>
      <w:tr>
        <w:tc>
          <w:tcPr>
            <w:tcW w:type="dxa" w:w="1440"/>
          </w:tcPr>
          <w:p>
            <w:pPr>
              <w:spacing w:after="0"/>
            </w:pPr>
            <w:r/>
            <w:r>
              <w:rPr>
                <w:b w:val="0"/>
                <w:sz w:val="18"/>
              </w:rPr>
              <w:t>BR-UV-004</w:t>
            </w:r>
          </w:p>
        </w:tc>
        <w:tc>
          <w:tcPr>
            <w:tcW w:type="dxa" w:w="4176"/>
          </w:tcPr>
          <w:p>
            <w:pPr>
              <w:spacing w:after="0"/>
            </w:pPr>
            <w:r/>
            <w:r>
              <w:rPr>
                <w:b w:val="0"/>
                <w:sz w:val="18"/>
              </w:rPr>
              <w:t>Suo motu only within two years of registration and for instruments not already referred</w:t>
            </w:r>
          </w:p>
        </w:tc>
        <w:tc>
          <w:tcPr>
            <w:tcW w:type="dxa" w:w="1728"/>
          </w:tcPr>
          <w:p>
            <w:pPr>
              <w:spacing w:after="0"/>
            </w:pPr>
            <w:r/>
            <w:r>
              <w:rPr>
                <w:b w:val="0"/>
                <w:sz w:val="18"/>
              </w:rPr>
              <w:t>Sec. 45-A(3)</w:t>
            </w:r>
          </w:p>
        </w:tc>
        <w:tc>
          <w:tcPr>
            <w:tcW w:type="dxa" w:w="2016"/>
          </w:tcPr>
          <w:p>
            <w:pPr>
              <w:spacing w:after="0"/>
            </w:pPr>
            <w:r/>
            <w:r>
              <w:rPr>
                <w:b w:val="0"/>
                <w:sz w:val="18"/>
              </w:rPr>
              <w:t>FR-UV-013</w:t>
            </w:r>
          </w:p>
        </w:tc>
      </w:tr>
      <w:tr>
        <w:tc>
          <w:tcPr>
            <w:tcW w:type="dxa" w:w="1440"/>
          </w:tcPr>
          <w:p>
            <w:pPr>
              <w:spacing w:after="0"/>
            </w:pPr>
            <w:r/>
            <w:r>
              <w:rPr>
                <w:b w:val="0"/>
                <w:sz w:val="18"/>
              </w:rPr>
              <w:t>BR-UV-005</w:t>
            </w:r>
          </w:p>
        </w:tc>
        <w:tc>
          <w:tcPr>
            <w:tcW w:type="dxa" w:w="4176"/>
          </w:tcPr>
          <w:p>
            <w:pPr>
              <w:spacing w:after="0"/>
            </w:pPr>
            <w:r/>
            <w:r>
              <w:rPr>
                <w:b w:val="0"/>
                <w:sz w:val="18"/>
              </w:rPr>
              <w:t>Adjudicated value supersedes guideline value for that instrument</w:t>
            </w:r>
          </w:p>
        </w:tc>
        <w:tc>
          <w:tcPr>
            <w:tcW w:type="dxa" w:w="1728"/>
          </w:tcPr>
          <w:p>
            <w:pPr>
              <w:spacing w:after="0"/>
            </w:pPr>
            <w:r/>
            <w:r>
              <w:rPr>
                <w:b w:val="0"/>
                <w:sz w:val="18"/>
              </w:rPr>
              <w:t>Sec. 45-A(2)</w:t>
            </w:r>
          </w:p>
        </w:tc>
        <w:tc>
          <w:tcPr>
            <w:tcW w:type="dxa" w:w="2016"/>
          </w:tcPr>
          <w:p>
            <w:pPr>
              <w:spacing w:after="0"/>
            </w:pPr>
            <w:r/>
            <w:r>
              <w:rPr>
                <w:b w:val="0"/>
                <w:sz w:val="18"/>
              </w:rPr>
              <w:t>FR-GVC-035, FR-UV-014</w:t>
            </w:r>
          </w:p>
        </w:tc>
      </w:tr>
      <w:tr>
        <w:tc>
          <w:tcPr>
            <w:tcW w:type="dxa" w:w="1440"/>
          </w:tcPr>
          <w:p>
            <w:pPr>
              <w:spacing w:after="0"/>
            </w:pPr>
            <w:r/>
            <w:r>
              <w:rPr>
                <w:b w:val="0"/>
                <w:sz w:val="18"/>
              </w:rPr>
              <w:t>BR-UV-006</w:t>
            </w:r>
          </w:p>
        </w:tc>
        <w:tc>
          <w:tcPr>
            <w:tcW w:type="dxa" w:w="4176"/>
          </w:tcPr>
          <w:p>
            <w:pPr>
              <w:spacing w:after="0"/>
            </w:pPr>
            <w:r/>
            <w:r>
              <w:rPr>
                <w:b w:val="0"/>
                <w:sz w:val="18"/>
              </w:rPr>
              <w:t>Appeal admitted only after 50% deposit of the duty difference</w:t>
            </w:r>
          </w:p>
        </w:tc>
        <w:tc>
          <w:tcPr>
            <w:tcW w:type="dxa" w:w="1728"/>
          </w:tcPr>
          <w:p>
            <w:pPr>
              <w:spacing w:after="0"/>
            </w:pPr>
            <w:r/>
            <w:r>
              <w:rPr>
                <w:b w:val="0"/>
                <w:sz w:val="18"/>
              </w:rPr>
              <w:t>Sec. 45-A(5)</w:t>
            </w:r>
          </w:p>
        </w:tc>
        <w:tc>
          <w:tcPr>
            <w:tcW w:type="dxa" w:w="2016"/>
          </w:tcPr>
          <w:p>
            <w:pPr>
              <w:spacing w:after="0"/>
            </w:pPr>
            <w:r/>
            <w:r>
              <w:rPr>
                <w:b w:val="0"/>
                <w:sz w:val="18"/>
              </w:rPr>
              <w:t>FR-UV-020</w:t>
            </w:r>
          </w:p>
        </w:tc>
      </w:tr>
      <w:tr>
        <w:tc>
          <w:tcPr>
            <w:tcW w:type="dxa" w:w="1440"/>
          </w:tcPr>
          <w:p>
            <w:pPr>
              <w:spacing w:after="0"/>
            </w:pPr>
            <w:r/>
            <w:r>
              <w:rPr>
                <w:b w:val="0"/>
                <w:sz w:val="18"/>
              </w:rPr>
              <w:t>BR-UV-007</w:t>
            </w:r>
          </w:p>
        </w:tc>
        <w:tc>
          <w:tcPr>
            <w:tcW w:type="dxa" w:w="4176"/>
          </w:tcPr>
          <w:p>
            <w:pPr>
              <w:spacing w:after="0"/>
            </w:pPr>
            <w:r/>
            <w:r>
              <w:rPr>
                <w:b w:val="0"/>
                <w:sz w:val="18"/>
              </w:rPr>
              <w:t>Interest at 12% p.a. beyond 90 days (DC order) / 60 days (appellate order), subject to cut-off dates</w:t>
            </w:r>
          </w:p>
        </w:tc>
        <w:tc>
          <w:tcPr>
            <w:tcW w:type="dxa" w:w="1728"/>
          </w:tcPr>
          <w:p>
            <w:pPr>
              <w:spacing w:after="0"/>
            </w:pPr>
            <w:r/>
            <w:r>
              <w:rPr>
                <w:b w:val="0"/>
                <w:sz w:val="18"/>
              </w:rPr>
              <w:t>Sec. 45-A(2), (3), (5)</w:t>
            </w:r>
          </w:p>
        </w:tc>
        <w:tc>
          <w:tcPr>
            <w:tcW w:type="dxa" w:w="2016"/>
          </w:tcPr>
          <w:p>
            <w:pPr>
              <w:spacing w:after="0"/>
            </w:pPr>
            <w:r/>
            <w:r>
              <w:rPr>
                <w:b w:val="0"/>
                <w:sz w:val="18"/>
              </w:rPr>
              <w:t>FR-UV-022</w:t>
            </w:r>
          </w:p>
        </w:tc>
      </w:tr>
      <w:tr>
        <w:tc>
          <w:tcPr>
            <w:tcW w:type="dxa" w:w="1440"/>
          </w:tcPr>
          <w:p>
            <w:pPr>
              <w:spacing w:after="0"/>
            </w:pPr>
            <w:r/>
            <w:r>
              <w:rPr>
                <w:b w:val="0"/>
                <w:sz w:val="18"/>
              </w:rPr>
              <w:t>BR-UV-008</w:t>
            </w:r>
          </w:p>
        </w:tc>
        <w:tc>
          <w:tcPr>
            <w:tcW w:type="dxa" w:w="4176"/>
          </w:tcPr>
          <w:p>
            <w:pPr>
              <w:spacing w:after="0"/>
            </w:pPr>
            <w:r/>
            <w:r>
              <w:rPr>
                <w:b w:val="0"/>
                <w:sz w:val="18"/>
              </w:rPr>
              <w:t>No provisional / Rule 6 path</w:t>
            </w:r>
          </w:p>
        </w:tc>
        <w:tc>
          <w:tcPr>
            <w:tcW w:type="dxa" w:w="1728"/>
          </w:tcPr>
          <w:p>
            <w:pPr>
              <w:spacing w:after="0"/>
            </w:pPr>
            <w:r/>
            <w:r>
              <w:rPr>
                <w:b w:val="0"/>
                <w:sz w:val="18"/>
              </w:rPr>
              <w:t>RD 264 MUNOMU 99</w:t>
            </w:r>
          </w:p>
        </w:tc>
        <w:tc>
          <w:tcPr>
            <w:tcW w:type="dxa" w:w="2016"/>
          </w:tcPr>
          <w:p>
            <w:pPr>
              <w:spacing w:after="0"/>
            </w:pPr>
            <w:r/>
            <w:r>
              <w:rPr>
                <w:b w:val="0"/>
                <w:sz w:val="18"/>
              </w:rPr>
              <w:t>FR-UV-025</w:t>
            </w:r>
          </w:p>
        </w:tc>
      </w:tr>
    </w:tbl>
    <w:p/>
    <w:p>
      <w:pPr>
        <w:pStyle w:val="Heading3"/>
      </w:pPr>
      <w:r>
        <w:t>8.14 User interface (high-level)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16"/>
            <w:shd w:val="clear" w:color="auto" w:fill="D9E2F3"/>
          </w:tcPr>
          <w:p>
            <w:pPr>
              <w:spacing w:after="0"/>
            </w:pPr>
            <w:r/>
            <w:r>
              <w:rPr>
                <w:b/>
                <w:sz w:val="18"/>
              </w:rPr>
              <w:t>Screen / step</w:t>
            </w:r>
          </w:p>
        </w:tc>
        <w:tc>
          <w:tcPr>
            <w:tcW w:type="dxa" w:w="2736"/>
            <w:shd w:val="clear" w:color="auto" w:fill="D9E2F3"/>
          </w:tcPr>
          <w:p>
            <w:pPr>
              <w:spacing w:after="0"/>
            </w:pPr>
            <w:r/>
            <w:r>
              <w:rPr>
                <w:b/>
                <w:sz w:val="18"/>
              </w:rPr>
              <w:t>Purpose</w:t>
            </w:r>
          </w:p>
        </w:tc>
        <w:tc>
          <w:tcPr>
            <w:tcW w:type="dxa" w:w="1440"/>
            <w:shd w:val="clear" w:color="auto" w:fill="D9E2F3"/>
          </w:tcPr>
          <w:p>
            <w:pPr>
              <w:spacing w:after="0"/>
            </w:pPr>
            <w:r/>
            <w:r>
              <w:rPr>
                <w:b/>
                <w:sz w:val="18"/>
              </w:rPr>
              <w:t>Actor</w:t>
            </w:r>
          </w:p>
        </w:tc>
        <w:tc>
          <w:tcPr>
            <w:tcW w:type="dxa" w:w="1584"/>
            <w:shd w:val="clear" w:color="auto" w:fill="D9E2F3"/>
          </w:tcPr>
          <w:p>
            <w:pPr>
              <w:spacing w:after="0"/>
            </w:pPr>
            <w:r/>
            <w:r>
              <w:rPr>
                <w:b/>
                <w:sz w:val="18"/>
              </w:rPr>
              <w:t>Statutory alignment</w:t>
            </w:r>
          </w:p>
        </w:tc>
        <w:tc>
          <w:tcPr>
            <w:tcW w:type="dxa" w:w="1584"/>
            <w:shd w:val="clear" w:color="auto" w:fill="D9E2F3"/>
          </w:tcPr>
          <w:p>
            <w:pPr>
              <w:spacing w:after="0"/>
            </w:pPr>
            <w:r/>
            <w:r>
              <w:rPr>
                <w:b/>
                <w:sz w:val="18"/>
              </w:rPr>
              <w:t>Notes</w:t>
            </w:r>
          </w:p>
        </w:tc>
      </w:tr>
      <w:tr>
        <w:tc>
          <w:tcPr>
            <w:tcW w:type="dxa" w:w="2016"/>
          </w:tcPr>
          <w:p>
            <w:pPr>
              <w:spacing w:after="0"/>
            </w:pPr>
            <w:r/>
            <w:r>
              <w:rPr>
                <w:b w:val="0"/>
                <w:sz w:val="18"/>
              </w:rPr>
              <w:t>Property location</w:t>
            </w:r>
          </w:p>
        </w:tc>
        <w:tc>
          <w:tcPr>
            <w:tcW w:type="dxa" w:w="2736"/>
          </w:tcPr>
          <w:p>
            <w:pPr>
              <w:spacing w:after="0"/>
            </w:pPr>
            <w:r/>
            <w:r>
              <w:rPr>
                <w:b w:val="0"/>
                <w:sz w:val="18"/>
              </w:rPr>
              <w:t>Cascading territorial selection</w:t>
            </w:r>
          </w:p>
        </w:tc>
        <w:tc>
          <w:tcPr>
            <w:tcW w:type="dxa" w:w="1440"/>
          </w:tcPr>
          <w:p>
            <w:pPr>
              <w:spacing w:after="0"/>
            </w:pPr>
            <w:r/>
            <w:r>
              <w:rPr>
                <w:b w:val="0"/>
                <w:sz w:val="18"/>
              </w:rPr>
              <w:t>Citizen / DEO</w:t>
            </w:r>
          </w:p>
        </w:tc>
        <w:tc>
          <w:tcPr>
            <w:tcW w:type="dxa" w:w="1584"/>
          </w:tcPr>
          <w:p>
            <w:pPr>
              <w:spacing w:after="0"/>
            </w:pPr>
            <w:r/>
            <w:r>
              <w:rPr>
                <w:b w:val="0"/>
                <w:sz w:val="18"/>
              </w:rPr>
              <w:t>Registration Rule 13</w:t>
            </w:r>
          </w:p>
        </w:tc>
        <w:tc>
          <w:tcPr>
            <w:tcW w:type="dxa" w:w="1584"/>
          </w:tcPr>
          <w:p>
            <w:pPr>
              <w:spacing w:after="0"/>
            </w:pPr>
            <w:r/>
            <w:r>
              <w:rPr>
                <w:b w:val="0"/>
                <w:sz w:val="18"/>
              </w:rPr>
              <w:t>FR-GVC-001</w:t>
            </w:r>
          </w:p>
        </w:tc>
      </w:tr>
      <w:tr>
        <w:tc>
          <w:tcPr>
            <w:tcW w:type="dxa" w:w="2016"/>
          </w:tcPr>
          <w:p>
            <w:pPr>
              <w:spacing w:after="0"/>
            </w:pPr>
            <w:r/>
            <w:r>
              <w:rPr>
                <w:b w:val="0"/>
                <w:sz w:val="18"/>
              </w:rPr>
              <w:t>Property identifier / map pick</w:t>
            </w:r>
          </w:p>
        </w:tc>
        <w:tc>
          <w:tcPr>
            <w:tcW w:type="dxa" w:w="2736"/>
          </w:tcPr>
          <w:p>
            <w:pPr>
              <w:spacing w:after="0"/>
            </w:pPr>
            <w:r/>
            <w:r>
              <w:rPr>
                <w:b w:val="0"/>
                <w:sz w:val="18"/>
              </w:rPr>
              <w:t>Survey / city survey / khata / UPIN or map pick</w:t>
            </w:r>
          </w:p>
        </w:tc>
        <w:tc>
          <w:tcPr>
            <w:tcW w:type="dxa" w:w="1440"/>
          </w:tcPr>
          <w:p>
            <w:pPr>
              <w:spacing w:after="0"/>
            </w:pPr>
            <w:r/>
            <w:r>
              <w:rPr>
                <w:b w:val="0"/>
                <w:sz w:val="18"/>
              </w:rPr>
              <w:t>Citizen / DEO</w:t>
            </w:r>
          </w:p>
        </w:tc>
        <w:tc>
          <w:tcPr>
            <w:tcW w:type="dxa" w:w="1584"/>
          </w:tcPr>
          <w:p>
            <w:pPr>
              <w:spacing w:after="0"/>
            </w:pPr>
            <w:r/>
            <w:r>
              <w:rPr>
                <w:b w:val="0"/>
                <w:sz w:val="18"/>
              </w:rPr>
              <w:t>Registration Rule 15</w:t>
            </w:r>
          </w:p>
        </w:tc>
        <w:tc>
          <w:tcPr>
            <w:tcW w:type="dxa" w:w="1584"/>
          </w:tcPr>
          <w:p>
            <w:pPr>
              <w:spacing w:after="0"/>
            </w:pPr>
            <w:r/>
            <w:r>
              <w:rPr>
                <w:b w:val="0"/>
                <w:sz w:val="18"/>
              </w:rPr>
              <w:t>FR-GVC-002, FR-GIS-007</w:t>
            </w:r>
          </w:p>
        </w:tc>
      </w:tr>
      <w:tr>
        <w:tc>
          <w:tcPr>
            <w:tcW w:type="dxa" w:w="2016"/>
          </w:tcPr>
          <w:p>
            <w:pPr>
              <w:spacing w:after="0"/>
            </w:pPr>
            <w:r/>
            <w:r>
              <w:rPr>
                <w:b w:val="0"/>
                <w:sz w:val="18"/>
              </w:rPr>
              <w:t>GIS result and map</w:t>
            </w:r>
          </w:p>
        </w:tc>
        <w:tc>
          <w:tcPr>
            <w:tcW w:type="dxa" w:w="2736"/>
          </w:tcPr>
          <w:p>
            <w:pPr>
              <w:spacing w:after="0"/>
            </w:pPr>
            <w:r/>
            <w:r>
              <w:rPr>
                <w:b w:val="0"/>
                <w:sz w:val="18"/>
              </w:rPr>
              <w:t>Parcel, valuation area, rate label; manual-area fallback with reason</w:t>
            </w:r>
          </w:p>
        </w:tc>
        <w:tc>
          <w:tcPr>
            <w:tcW w:type="dxa" w:w="1440"/>
          </w:tcPr>
          <w:p>
            <w:pPr>
              <w:spacing w:after="0"/>
            </w:pPr>
            <w:r/>
            <w:r>
              <w:rPr>
                <w:b w:val="0"/>
                <w:sz w:val="18"/>
              </w:rPr>
              <w:t>Citizen / DEO</w:t>
            </w:r>
          </w:p>
        </w:tc>
        <w:tc>
          <w:tcPr>
            <w:tcW w:type="dxa" w:w="1584"/>
          </w:tcPr>
          <w:p>
            <w:pPr>
              <w:spacing w:after="0"/>
            </w:pPr>
            <w:r/>
            <w:r>
              <w:rPr>
                <w:b w:val="0"/>
                <w:sz w:val="18"/>
              </w:rPr>
              <w:t>—</w:t>
            </w:r>
          </w:p>
        </w:tc>
        <w:tc>
          <w:tcPr>
            <w:tcW w:type="dxa" w:w="1584"/>
          </w:tcPr>
          <w:p>
            <w:pPr>
              <w:spacing w:after="0"/>
            </w:pPr>
            <w:r/>
            <w:r>
              <w:rPr>
                <w:b w:val="0"/>
                <w:sz w:val="18"/>
              </w:rPr>
              <w:t>FR-GIS-001–006</w:t>
            </w:r>
          </w:p>
        </w:tc>
      </w:tr>
      <w:tr>
        <w:tc>
          <w:tcPr>
            <w:tcW w:type="dxa" w:w="2016"/>
          </w:tcPr>
          <w:p>
            <w:pPr>
              <w:spacing w:after="0"/>
            </w:pPr>
            <w:r/>
            <w:r>
              <w:rPr>
                <w:b w:val="0"/>
                <w:sz w:val="18"/>
              </w:rPr>
              <w:t>Property type and features</w:t>
            </w:r>
          </w:p>
        </w:tc>
        <w:tc>
          <w:tcPr>
            <w:tcW w:type="dxa" w:w="2736"/>
          </w:tcPr>
          <w:p>
            <w:pPr>
              <w:spacing w:after="0"/>
            </w:pPr>
            <w:r/>
            <w:r>
              <w:rPr>
                <w:b w:val="0"/>
                <w:sz w:val="18"/>
              </w:rPr>
              <w:t>Rate head, extent, building particulars</w:t>
            </w:r>
          </w:p>
        </w:tc>
        <w:tc>
          <w:tcPr>
            <w:tcW w:type="dxa" w:w="1440"/>
          </w:tcPr>
          <w:p>
            <w:pPr>
              <w:spacing w:after="0"/>
            </w:pPr>
            <w:r/>
            <w:r>
              <w:rPr>
                <w:b w:val="0"/>
                <w:sz w:val="18"/>
              </w:rPr>
              <w:t>Citizen / DEO</w:t>
            </w:r>
          </w:p>
        </w:tc>
        <w:tc>
          <w:tcPr>
            <w:tcW w:type="dxa" w:w="1584"/>
          </w:tcPr>
          <w:p>
            <w:pPr>
              <w:spacing w:after="0"/>
            </w:pPr>
            <w:r/>
            <w:r>
              <w:rPr>
                <w:b w:val="0"/>
                <w:sz w:val="18"/>
              </w:rPr>
              <w:t>CVC methodology</w:t>
            </w:r>
          </w:p>
        </w:tc>
        <w:tc>
          <w:tcPr>
            <w:tcW w:type="dxa" w:w="1584"/>
          </w:tcPr>
          <w:p>
            <w:pPr>
              <w:spacing w:after="0"/>
            </w:pPr>
            <w:r/>
            <w:r>
              <w:rPr>
                <w:b w:val="0"/>
                <w:sz w:val="18"/>
              </w:rPr>
              <w:t>FR-GVC-003–005</w:t>
            </w:r>
          </w:p>
        </w:tc>
      </w:tr>
      <w:tr>
        <w:tc>
          <w:tcPr>
            <w:tcW w:type="dxa" w:w="2016"/>
          </w:tcPr>
          <w:p>
            <w:pPr>
              <w:spacing w:after="0"/>
            </w:pPr>
            <w:r/>
            <w:r>
              <w:rPr>
                <w:b w:val="0"/>
                <w:sz w:val="18"/>
              </w:rPr>
              <w:t>Consideration</w:t>
            </w:r>
          </w:p>
        </w:tc>
        <w:tc>
          <w:tcPr>
            <w:tcW w:type="dxa" w:w="2736"/>
          </w:tcPr>
          <w:p>
            <w:pPr>
              <w:spacing w:after="0"/>
            </w:pPr>
            <w:r/>
            <w:r>
              <w:rPr>
                <w:b w:val="0"/>
                <w:sz w:val="18"/>
              </w:rPr>
              <w:t>Declared consideration</w:t>
            </w:r>
          </w:p>
        </w:tc>
        <w:tc>
          <w:tcPr>
            <w:tcW w:type="dxa" w:w="1440"/>
          </w:tcPr>
          <w:p>
            <w:pPr>
              <w:spacing w:after="0"/>
            </w:pPr>
            <w:r/>
            <w:r>
              <w:rPr>
                <w:b w:val="0"/>
                <w:sz w:val="18"/>
              </w:rPr>
              <w:t>Citizen / DEO</w:t>
            </w:r>
          </w:p>
        </w:tc>
        <w:tc>
          <w:tcPr>
            <w:tcW w:type="dxa" w:w="1584"/>
          </w:tcPr>
          <w:p>
            <w:pPr>
              <w:spacing w:after="0"/>
            </w:pPr>
            <w:r/>
            <w:r>
              <w:rPr>
                <w:b w:val="0"/>
                <w:sz w:val="18"/>
              </w:rPr>
              <w:t>Sec. 27</w:t>
            </w:r>
          </w:p>
        </w:tc>
        <w:tc>
          <w:tcPr>
            <w:tcW w:type="dxa" w:w="1584"/>
          </w:tcPr>
          <w:p>
            <w:pPr>
              <w:spacing w:after="0"/>
            </w:pPr>
            <w:r/>
            <w:r>
              <w:rPr>
                <w:b w:val="0"/>
                <w:sz w:val="18"/>
              </w:rPr>
              <w:t>FR-GVC-030</w:t>
            </w:r>
          </w:p>
        </w:tc>
      </w:tr>
      <w:tr>
        <w:tc>
          <w:tcPr>
            <w:tcW w:type="dxa" w:w="2016"/>
          </w:tcPr>
          <w:p>
            <w:pPr>
              <w:spacing w:after="0"/>
            </w:pPr>
            <w:r/>
            <w:r>
              <w:rPr>
                <w:b w:val="0"/>
                <w:sz w:val="18"/>
              </w:rPr>
              <w:t>Valuation summary</w:t>
            </w:r>
          </w:p>
        </w:tc>
        <w:tc>
          <w:tcPr>
            <w:tcW w:type="dxa" w:w="2736"/>
          </w:tcPr>
          <w:p>
            <w:pPr>
              <w:spacing w:after="0"/>
            </w:pPr>
            <w:r/>
            <w:r>
              <w:rPr>
                <w:b w:val="0"/>
                <w:sz w:val="18"/>
              </w:rPr>
              <w:t>Breakup, market value basis, duty, fee, map snapshot</w:t>
            </w:r>
          </w:p>
        </w:tc>
        <w:tc>
          <w:tcPr>
            <w:tcW w:type="dxa" w:w="1440"/>
          </w:tcPr>
          <w:p>
            <w:pPr>
              <w:spacing w:after="0"/>
            </w:pPr>
            <w:r/>
            <w:r>
              <w:rPr>
                <w:b w:val="0"/>
                <w:sz w:val="18"/>
              </w:rPr>
              <w:t>Citizen / DEO</w:t>
            </w:r>
          </w:p>
        </w:tc>
        <w:tc>
          <w:tcPr>
            <w:tcW w:type="dxa" w:w="1584"/>
          </w:tcPr>
          <w:p>
            <w:pPr>
              <w:spacing w:after="0"/>
            </w:pPr>
            <w:r/>
            <w:r>
              <w:rPr>
                <w:b w:val="0"/>
                <w:sz w:val="18"/>
              </w:rPr>
              <w:t>Sec. 2(mm), 3</w:t>
            </w:r>
          </w:p>
        </w:tc>
        <w:tc>
          <w:tcPr>
            <w:tcW w:type="dxa" w:w="1584"/>
          </w:tcPr>
          <w:p>
            <w:pPr>
              <w:spacing w:after="0"/>
            </w:pPr>
            <w:r/>
            <w:r>
              <w:rPr>
                <w:b w:val="0"/>
                <w:sz w:val="18"/>
              </w:rPr>
              <w:t>FR-GVC-024, 031, 033, 036</w:t>
            </w:r>
          </w:p>
        </w:tc>
      </w:tr>
      <w:tr>
        <w:tc>
          <w:tcPr>
            <w:tcW w:type="dxa" w:w="2016"/>
          </w:tcPr>
          <w:p>
            <w:pPr>
              <w:spacing w:after="0"/>
            </w:pPr>
            <w:r/>
            <w:r>
              <w:rPr>
                <w:b w:val="0"/>
                <w:sz w:val="18"/>
              </w:rPr>
              <w:t>SR valuation verification</w:t>
            </w:r>
          </w:p>
        </w:tc>
        <w:tc>
          <w:tcPr>
            <w:tcW w:type="dxa" w:w="2736"/>
          </w:tcPr>
          <w:p>
            <w:pPr>
              <w:spacing w:after="0"/>
            </w:pPr>
            <w:r/>
            <w:r>
              <w:rPr>
                <w:b w:val="0"/>
                <w:sz w:val="18"/>
              </w:rPr>
              <w:t>Accept / send back / refer under Sec. 45-A</w:t>
            </w:r>
          </w:p>
        </w:tc>
        <w:tc>
          <w:tcPr>
            <w:tcW w:type="dxa" w:w="1440"/>
          </w:tcPr>
          <w:p>
            <w:pPr>
              <w:spacing w:after="0"/>
            </w:pPr>
            <w:r/>
            <w:r>
              <w:rPr>
                <w:b w:val="0"/>
                <w:sz w:val="18"/>
              </w:rPr>
              <w:t>SR</w:t>
            </w:r>
          </w:p>
        </w:tc>
        <w:tc>
          <w:tcPr>
            <w:tcW w:type="dxa" w:w="1584"/>
          </w:tcPr>
          <w:p>
            <w:pPr>
              <w:spacing w:after="0"/>
            </w:pPr>
            <w:r/>
            <w:r>
              <w:rPr>
                <w:b w:val="0"/>
                <w:sz w:val="18"/>
              </w:rPr>
              <w:t>Sec. 45-A(1)</w:t>
            </w:r>
          </w:p>
        </w:tc>
        <w:tc>
          <w:tcPr>
            <w:tcW w:type="dxa" w:w="1584"/>
          </w:tcPr>
          <w:p>
            <w:pPr>
              <w:spacing w:after="0"/>
            </w:pPr>
            <w:r/>
            <w:r>
              <w:rPr>
                <w:b w:val="0"/>
                <w:sz w:val="18"/>
              </w:rPr>
              <w:t>FR-GVC-040–043</w:t>
            </w:r>
          </w:p>
        </w:tc>
      </w:tr>
      <w:tr>
        <w:tc>
          <w:tcPr>
            <w:tcW w:type="dxa" w:w="2016"/>
          </w:tcPr>
          <w:p>
            <w:pPr>
              <w:spacing w:after="0"/>
            </w:pPr>
            <w:r/>
            <w:r>
              <w:rPr>
                <w:b w:val="0"/>
                <w:sz w:val="18"/>
              </w:rPr>
              <w:t>Sec. 45-A estimate and reference</w:t>
            </w:r>
          </w:p>
        </w:tc>
        <w:tc>
          <w:tcPr>
            <w:tcW w:type="dxa" w:w="2736"/>
          </w:tcPr>
          <w:p>
            <w:pPr>
              <w:spacing w:after="0"/>
            </w:pPr>
            <w:r/>
            <w:r>
              <w:rPr>
                <w:b w:val="0"/>
                <w:sz w:val="18"/>
              </w:rPr>
              <w:t>Estimate with reasons, Form I, refer to DC</w:t>
            </w:r>
          </w:p>
        </w:tc>
        <w:tc>
          <w:tcPr>
            <w:tcW w:type="dxa" w:w="1440"/>
          </w:tcPr>
          <w:p>
            <w:pPr>
              <w:spacing w:after="0"/>
            </w:pPr>
            <w:r/>
            <w:r>
              <w:rPr>
                <w:b w:val="0"/>
                <w:sz w:val="18"/>
              </w:rPr>
              <w:t>SR</w:t>
            </w:r>
          </w:p>
        </w:tc>
        <w:tc>
          <w:tcPr>
            <w:tcW w:type="dxa" w:w="1584"/>
          </w:tcPr>
          <w:p>
            <w:pPr>
              <w:spacing w:after="0"/>
            </w:pPr>
            <w:r/>
            <w:r>
              <w:rPr>
                <w:b w:val="0"/>
                <w:sz w:val="18"/>
              </w:rPr>
              <w:t>Sec. 45-A(1); Rules 1977</w:t>
            </w:r>
          </w:p>
        </w:tc>
        <w:tc>
          <w:tcPr>
            <w:tcW w:type="dxa" w:w="1584"/>
          </w:tcPr>
          <w:p>
            <w:pPr>
              <w:spacing w:after="0"/>
            </w:pPr>
            <w:r/>
            <w:r>
              <w:rPr>
                <w:b w:val="0"/>
                <w:sz w:val="18"/>
              </w:rPr>
              <w:t>FR-UV-002–005</w:t>
            </w:r>
          </w:p>
        </w:tc>
      </w:tr>
      <w:tr>
        <w:tc>
          <w:tcPr>
            <w:tcW w:type="dxa" w:w="2016"/>
          </w:tcPr>
          <w:p>
            <w:pPr>
              <w:spacing w:after="0"/>
            </w:pPr>
            <w:r/>
            <w:r>
              <w:rPr>
                <w:b w:val="0"/>
                <w:sz w:val="18"/>
              </w:rPr>
              <w:t>DC case workbench</w:t>
            </w:r>
          </w:p>
        </w:tc>
        <w:tc>
          <w:tcPr>
            <w:tcW w:type="dxa" w:w="2736"/>
          </w:tcPr>
          <w:p>
            <w:pPr>
              <w:spacing w:after="0"/>
            </w:pPr>
            <w:r/>
            <w:r>
              <w:rPr>
                <w:b w:val="0"/>
                <w:sz w:val="18"/>
              </w:rPr>
              <w:t>Hearing, inquiry, order, suo motu</w:t>
            </w:r>
          </w:p>
        </w:tc>
        <w:tc>
          <w:tcPr>
            <w:tcW w:type="dxa" w:w="1440"/>
          </w:tcPr>
          <w:p>
            <w:pPr>
              <w:spacing w:after="0"/>
            </w:pPr>
            <w:r/>
            <w:r>
              <w:rPr>
                <w:b w:val="0"/>
                <w:sz w:val="18"/>
              </w:rPr>
              <w:t>DC</w:t>
            </w:r>
          </w:p>
        </w:tc>
        <w:tc>
          <w:tcPr>
            <w:tcW w:type="dxa" w:w="1584"/>
          </w:tcPr>
          <w:p>
            <w:pPr>
              <w:spacing w:after="0"/>
            </w:pPr>
            <w:r/>
            <w:r>
              <w:rPr>
                <w:b w:val="0"/>
                <w:sz w:val="18"/>
              </w:rPr>
              <w:t>Sec. 45-A(2)–(4)</w:t>
            </w:r>
          </w:p>
        </w:tc>
        <w:tc>
          <w:tcPr>
            <w:tcW w:type="dxa" w:w="1584"/>
          </w:tcPr>
          <w:p>
            <w:pPr>
              <w:spacing w:after="0"/>
            </w:pPr>
            <w:r/>
            <w:r>
              <w:rPr>
                <w:b w:val="0"/>
                <w:sz w:val="18"/>
              </w:rPr>
              <w:t>FR-UV-010–014</w:t>
            </w:r>
          </w:p>
        </w:tc>
      </w:tr>
      <w:tr>
        <w:tc>
          <w:tcPr>
            <w:tcW w:type="dxa" w:w="2016"/>
          </w:tcPr>
          <w:p>
            <w:pPr>
              <w:spacing w:after="0"/>
            </w:pPr>
            <w:r/>
            <w:r>
              <w:rPr>
                <w:b w:val="0"/>
                <w:sz w:val="18"/>
              </w:rPr>
              <w:t>Appeal</w:t>
            </w:r>
          </w:p>
        </w:tc>
        <w:tc>
          <w:tcPr>
            <w:tcW w:type="dxa" w:w="2736"/>
          </w:tcPr>
          <w:p>
            <w:pPr>
              <w:spacing w:after="0"/>
            </w:pPr>
            <w:r/>
            <w:r>
              <w:rPr>
                <w:b w:val="0"/>
                <w:sz w:val="18"/>
              </w:rPr>
              <w:t>File appeal with 50% deposit; appellate decision</w:t>
            </w:r>
          </w:p>
        </w:tc>
        <w:tc>
          <w:tcPr>
            <w:tcW w:type="dxa" w:w="1440"/>
          </w:tcPr>
          <w:p>
            <w:pPr>
              <w:spacing w:after="0"/>
            </w:pPr>
            <w:r/>
            <w:r>
              <w:rPr>
                <w:b w:val="0"/>
                <w:sz w:val="18"/>
              </w:rPr>
              <w:t>Party / Regional Commissioner</w:t>
            </w:r>
          </w:p>
        </w:tc>
        <w:tc>
          <w:tcPr>
            <w:tcW w:type="dxa" w:w="1584"/>
          </w:tcPr>
          <w:p>
            <w:pPr>
              <w:spacing w:after="0"/>
            </w:pPr>
            <w:r/>
            <w:r>
              <w:rPr>
                <w:b w:val="0"/>
                <w:sz w:val="18"/>
              </w:rPr>
              <w:t>Sec. 45-A(5)</w:t>
            </w:r>
          </w:p>
        </w:tc>
        <w:tc>
          <w:tcPr>
            <w:tcW w:type="dxa" w:w="1584"/>
          </w:tcPr>
          <w:p>
            <w:pPr>
              <w:spacing w:after="0"/>
            </w:pPr>
            <w:r/>
            <w:r>
              <w:rPr>
                <w:b w:val="0"/>
                <w:sz w:val="18"/>
              </w:rPr>
              <w:t>FR-UV-020–021</w:t>
            </w:r>
          </w:p>
        </w:tc>
      </w:tr>
      <w:tr>
        <w:tc>
          <w:tcPr>
            <w:tcW w:type="dxa" w:w="2016"/>
          </w:tcPr>
          <w:p>
            <w:pPr>
              <w:spacing w:after="0"/>
            </w:pPr>
            <w:r/>
            <w:r>
              <w:rPr>
                <w:b w:val="0"/>
                <w:sz w:val="18"/>
              </w:rPr>
              <w:t>Duty difference payment</w:t>
            </w:r>
          </w:p>
        </w:tc>
        <w:tc>
          <w:tcPr>
            <w:tcW w:type="dxa" w:w="2736"/>
          </w:tcPr>
          <w:p>
            <w:pPr>
              <w:spacing w:after="0"/>
            </w:pPr>
            <w:r/>
            <w:r>
              <w:rPr>
                <w:b w:val="0"/>
                <w:sz w:val="18"/>
              </w:rPr>
              <w:t>Pay difference + interest; refund status</w:t>
            </w:r>
          </w:p>
        </w:tc>
        <w:tc>
          <w:tcPr>
            <w:tcW w:type="dxa" w:w="1440"/>
          </w:tcPr>
          <w:p>
            <w:pPr>
              <w:spacing w:after="0"/>
            </w:pPr>
            <w:r/>
            <w:r>
              <w:rPr>
                <w:b w:val="0"/>
                <w:sz w:val="18"/>
              </w:rPr>
              <w:t>Party</w:t>
            </w:r>
          </w:p>
        </w:tc>
        <w:tc>
          <w:tcPr>
            <w:tcW w:type="dxa" w:w="1584"/>
          </w:tcPr>
          <w:p>
            <w:pPr>
              <w:spacing w:after="0"/>
            </w:pPr>
            <w:r/>
            <w:r>
              <w:rPr>
                <w:b w:val="0"/>
                <w:sz w:val="18"/>
              </w:rPr>
              <w:t>Sec. 45-A(2), (5)</w:t>
            </w:r>
          </w:p>
        </w:tc>
        <w:tc>
          <w:tcPr>
            <w:tcW w:type="dxa" w:w="1584"/>
          </w:tcPr>
          <w:p>
            <w:pPr>
              <w:spacing w:after="0"/>
            </w:pPr>
            <w:r/>
            <w:r>
              <w:rPr>
                <w:b w:val="0"/>
                <w:sz w:val="18"/>
              </w:rPr>
              <w:t>FR-UV-022–024</w:t>
            </w:r>
          </w:p>
        </w:tc>
      </w:tr>
      <w:tr>
        <w:tc>
          <w:tcPr>
            <w:tcW w:type="dxa" w:w="2016"/>
          </w:tcPr>
          <w:p>
            <w:pPr>
              <w:spacing w:after="0"/>
            </w:pPr>
            <w:r/>
            <w:r>
              <w:rPr>
                <w:b w:val="0"/>
                <w:sz w:val="18"/>
              </w:rPr>
              <w:t>Public guideline value search</w:t>
            </w:r>
          </w:p>
        </w:tc>
        <w:tc>
          <w:tcPr>
            <w:tcW w:type="dxa" w:w="2736"/>
          </w:tcPr>
          <w:p>
            <w:pPr>
              <w:spacing w:after="0"/>
            </w:pPr>
            <w:r/>
            <w:r>
              <w:rPr>
                <w:b w:val="0"/>
                <w:sz w:val="18"/>
              </w:rPr>
              <w:t>Rates and map by area</w:t>
            </w:r>
          </w:p>
        </w:tc>
        <w:tc>
          <w:tcPr>
            <w:tcW w:type="dxa" w:w="1440"/>
          </w:tcPr>
          <w:p>
            <w:pPr>
              <w:spacing w:after="0"/>
            </w:pPr>
            <w:r/>
            <w:r>
              <w:rPr>
                <w:b w:val="0"/>
                <w:sz w:val="18"/>
              </w:rPr>
              <w:t>Public</w:t>
            </w:r>
          </w:p>
        </w:tc>
        <w:tc>
          <w:tcPr>
            <w:tcW w:type="dxa" w:w="1584"/>
          </w:tcPr>
          <w:p>
            <w:pPr>
              <w:spacing w:after="0"/>
            </w:pPr>
            <w:r/>
            <w:r>
              <w:rPr>
                <w:b w:val="0"/>
                <w:sz w:val="18"/>
              </w:rPr>
              <w:t>Sec. 45-B</w:t>
            </w:r>
          </w:p>
        </w:tc>
        <w:tc>
          <w:tcPr>
            <w:tcW w:type="dxa" w:w="1584"/>
          </w:tcPr>
          <w:p>
            <w:pPr>
              <w:spacing w:after="0"/>
            </w:pPr>
            <w:r/>
            <w:r>
              <w:rPr>
                <w:b w:val="0"/>
                <w:sz w:val="18"/>
              </w:rPr>
              <w:t>FR-GVC-014</w:t>
            </w:r>
          </w:p>
        </w:tc>
      </w:tr>
      <w:tr>
        <w:tc>
          <w:tcPr>
            <w:tcW w:type="dxa" w:w="2016"/>
          </w:tcPr>
          <w:p>
            <w:pPr>
              <w:spacing w:after="0"/>
            </w:pPr>
            <w:r/>
            <w:r>
              <w:rPr>
                <w:b w:val="0"/>
                <w:sz w:val="18"/>
              </w:rPr>
              <w:t>Master alignment console</w:t>
            </w:r>
          </w:p>
        </w:tc>
        <w:tc>
          <w:tcPr>
            <w:tcW w:type="dxa" w:w="2736"/>
          </w:tcPr>
          <w:p>
            <w:pPr>
              <w:spacing w:after="0"/>
            </w:pPr>
            <w:r/>
            <w:r>
              <w:rPr>
                <w:b w:val="0"/>
                <w:sz w:val="18"/>
              </w:rPr>
              <w:t>Crosswalk, splits, road names, reconciliation</w:t>
            </w:r>
          </w:p>
        </w:tc>
        <w:tc>
          <w:tcPr>
            <w:tcW w:type="dxa" w:w="1440"/>
          </w:tcPr>
          <w:p>
            <w:pPr>
              <w:spacing w:after="0"/>
            </w:pPr>
            <w:r/>
            <w:r>
              <w:rPr>
                <w:b w:val="0"/>
                <w:sz w:val="18"/>
              </w:rPr>
              <w:t>Valuation / GIS admin</w:t>
            </w:r>
          </w:p>
        </w:tc>
        <w:tc>
          <w:tcPr>
            <w:tcW w:type="dxa" w:w="1584"/>
          </w:tcPr>
          <w:p>
            <w:pPr>
              <w:spacing w:after="0"/>
            </w:pPr>
            <w:r/>
            <w:r>
              <w:rPr>
                <w:b w:val="0"/>
                <w:sz w:val="18"/>
              </w:rPr>
              <w:t>—</w:t>
            </w:r>
          </w:p>
        </w:tc>
        <w:tc>
          <w:tcPr>
            <w:tcW w:type="dxa" w:w="1584"/>
          </w:tcPr>
          <w:p>
            <w:pPr>
              <w:spacing w:after="0"/>
            </w:pPr>
            <w:r/>
            <w:r>
              <w:rPr>
                <w:b w:val="0"/>
                <w:sz w:val="18"/>
              </w:rPr>
              <w:t>FR-GIS-020–024</w:t>
            </w:r>
          </w:p>
        </w:tc>
      </w:tr>
    </w:tbl>
    <w:p/>
    <w:p>
      <w:pPr/>
      <w:r>
        <w:t>Wireframe links: [Figma / prototype URLs]</w:t>
      </w:r>
    </w:p>
    <w:p>
      <w:pPr/>
      <w:r>
        <w:t>Bilingual: all labels [EN / KN] — content manager sign-off.</w:t>
      </w:r>
    </w:p>
    <w:p>
      <w:pPr>
        <w:pStyle w:val="Heading3"/>
      </w:pPr>
      <w:r>
        <w:t>8.15 Integrations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304"/>
            <w:shd w:val="clear" w:color="auto" w:fill="D9E2F3"/>
          </w:tcPr>
          <w:p>
            <w:pPr>
              <w:spacing w:after="0"/>
            </w:pPr>
            <w:r/>
            <w:r>
              <w:rPr>
                <w:b/>
                <w:sz w:val="18"/>
              </w:rPr>
              <w:t>Integration</w:t>
            </w:r>
          </w:p>
        </w:tc>
        <w:tc>
          <w:tcPr>
            <w:tcW w:type="dxa" w:w="1296"/>
            <w:shd w:val="clear" w:color="auto" w:fill="D9E2F3"/>
          </w:tcPr>
          <w:p>
            <w:pPr>
              <w:spacing w:after="0"/>
            </w:pPr>
            <w:r/>
            <w:r>
              <w:rPr>
                <w:b/>
                <w:sz w:val="18"/>
              </w:rPr>
              <w:t>Direction</w:t>
            </w:r>
          </w:p>
        </w:tc>
        <w:tc>
          <w:tcPr>
            <w:tcW w:type="dxa" w:w="3312"/>
            <w:shd w:val="clear" w:color="auto" w:fill="D9E2F3"/>
          </w:tcPr>
          <w:p>
            <w:pPr>
              <w:spacing w:after="0"/>
            </w:pPr>
            <w:r/>
            <w:r>
              <w:rPr>
                <w:b/>
                <w:sz w:val="18"/>
              </w:rPr>
              <w:t>Purpose</w:t>
            </w:r>
          </w:p>
        </w:tc>
        <w:tc>
          <w:tcPr>
            <w:tcW w:type="dxa" w:w="1584"/>
            <w:shd w:val="clear" w:color="auto" w:fill="D9E2F3"/>
          </w:tcPr>
          <w:p>
            <w:pPr>
              <w:spacing w:after="0"/>
            </w:pPr>
            <w:r/>
            <w:r>
              <w:rPr>
                <w:b/>
                <w:sz w:val="18"/>
              </w:rPr>
              <w:t>Owner</w:t>
            </w:r>
          </w:p>
        </w:tc>
        <w:tc>
          <w:tcPr>
            <w:tcW w:type="dxa" w:w="864"/>
            <w:shd w:val="clear" w:color="auto" w:fill="D9E2F3"/>
          </w:tcPr>
          <w:p>
            <w:pPr>
              <w:spacing w:after="0"/>
            </w:pPr>
            <w:r/>
            <w:r>
              <w:rPr>
                <w:b/>
                <w:sz w:val="18"/>
              </w:rPr>
              <w:t>Status</w:t>
            </w:r>
          </w:p>
        </w:tc>
      </w:tr>
      <w:tr>
        <w:tc>
          <w:tcPr>
            <w:tcW w:type="dxa" w:w="2304"/>
          </w:tcPr>
          <w:p>
            <w:pPr>
              <w:spacing w:after="0"/>
            </w:pPr>
            <w:r/>
            <w:r>
              <w:rPr>
                <w:b w:val="0"/>
                <w:sz w:val="18"/>
              </w:rPr>
              <w:t>KSRSAC GIS services</w:t>
            </w:r>
          </w:p>
        </w:tc>
        <w:tc>
          <w:tcPr>
            <w:tcW w:type="dxa" w:w="1296"/>
          </w:tcPr>
          <w:p>
            <w:pPr>
              <w:spacing w:after="0"/>
            </w:pPr>
            <w:r/>
            <w:r>
              <w:rPr>
                <w:b w:val="0"/>
                <w:sz w:val="18"/>
              </w:rPr>
              <w:t>Outbound / Inbound</w:t>
            </w:r>
          </w:p>
        </w:tc>
        <w:tc>
          <w:tcPr>
            <w:tcW w:type="dxa" w:w="3312"/>
          </w:tcPr>
          <w:p>
            <w:pPr>
              <w:spacing w:after="0"/>
            </w:pPr>
            <w:r/>
            <w:r>
              <w:rPr>
                <w:b w:val="0"/>
                <w:sz w:val="18"/>
              </w:rPr>
              <w:t>Parcel lookup, boundary, nearest road, admin boundary, map tiles, layer sync</w:t>
            </w:r>
          </w:p>
        </w:tc>
        <w:tc>
          <w:tcPr>
            <w:tcW w:type="dxa" w:w="1584"/>
          </w:tcPr>
          <w:p>
            <w:pPr>
              <w:spacing w:after="0"/>
            </w:pPr>
            <w:r/>
            <w:r>
              <w:rPr>
                <w:b w:val="0"/>
                <w:sz w:val="18"/>
              </w:rPr>
              <w:t>KSRSAC / Kaveri IT Cell</w:t>
            </w:r>
          </w:p>
        </w:tc>
        <w:tc>
          <w:tcPr>
            <w:tcW w:type="dxa" w:w="864"/>
          </w:tcPr>
          <w:p>
            <w:pPr>
              <w:spacing w:after="0"/>
            </w:pPr>
            <w:r/>
            <w:r>
              <w:rPr>
                <w:b w:val="0"/>
                <w:sz w:val="18"/>
              </w:rPr>
              <w:t>TBD</w:t>
            </w:r>
          </w:p>
        </w:tc>
      </w:tr>
      <w:tr>
        <w:tc>
          <w:tcPr>
            <w:tcW w:type="dxa" w:w="2304"/>
          </w:tcPr>
          <w:p>
            <w:pPr>
              <w:spacing w:after="0"/>
            </w:pPr>
            <w:r/>
            <w:r>
              <w:rPr>
                <w:b w:val="0"/>
                <w:sz w:val="18"/>
              </w:rPr>
              <w:t>CVC Valuation Module</w:t>
            </w:r>
          </w:p>
        </w:tc>
        <w:tc>
          <w:tcPr>
            <w:tcW w:type="dxa" w:w="1296"/>
          </w:tcPr>
          <w:p>
            <w:pPr>
              <w:spacing w:after="0"/>
            </w:pPr>
            <w:r/>
            <w:r>
              <w:rPr>
                <w:b w:val="0"/>
                <w:sz w:val="18"/>
              </w:rPr>
              <w:t>Inbound</w:t>
            </w:r>
          </w:p>
        </w:tc>
        <w:tc>
          <w:tcPr>
            <w:tcW w:type="dxa" w:w="3312"/>
          </w:tcPr>
          <w:p>
            <w:pPr>
              <w:spacing w:after="0"/>
            </w:pPr>
            <w:r/>
            <w:r>
              <w:rPr>
                <w:b w:val="0"/>
                <w:sz w:val="18"/>
              </w:rPr>
              <w:t>Active versioned guideline rates; rate-gap and correction requests outbound</w:t>
            </w:r>
          </w:p>
        </w:tc>
        <w:tc>
          <w:tcPr>
            <w:tcW w:type="dxa" w:w="1584"/>
          </w:tcPr>
          <w:p>
            <w:pPr>
              <w:spacing w:after="0"/>
            </w:pPr>
            <w:r/>
            <w:r>
              <w:rPr>
                <w:b w:val="0"/>
                <w:sz w:val="18"/>
              </w:rPr>
              <w:t>CVC / Kaveri IT Cell</w:t>
            </w:r>
          </w:p>
        </w:tc>
        <w:tc>
          <w:tcPr>
            <w:tcW w:type="dxa" w:w="864"/>
          </w:tcPr>
          <w:p>
            <w:pPr>
              <w:spacing w:after="0"/>
            </w:pPr>
            <w:r/>
            <w:r>
              <w:rPr>
                <w:b w:val="0"/>
                <w:sz w:val="18"/>
              </w:rPr>
              <w:t>Internal</w:t>
            </w:r>
          </w:p>
        </w:tc>
      </w:tr>
      <w:tr>
        <w:tc>
          <w:tcPr>
            <w:tcW w:type="dxa" w:w="2304"/>
          </w:tcPr>
          <w:p>
            <w:pPr>
              <w:spacing w:after="0"/>
            </w:pPr>
            <w:r/>
            <w:r>
              <w:rPr>
                <w:b w:val="0"/>
                <w:sz w:val="18"/>
              </w:rPr>
              <w:t>Stamp duty and registration fee engine</w:t>
            </w:r>
          </w:p>
        </w:tc>
        <w:tc>
          <w:tcPr>
            <w:tcW w:type="dxa" w:w="1296"/>
          </w:tcPr>
          <w:p>
            <w:pPr>
              <w:spacing w:after="0"/>
            </w:pPr>
            <w:r/>
            <w:r>
              <w:rPr>
                <w:b w:val="0"/>
                <w:sz w:val="18"/>
              </w:rPr>
              <w:t>Internal</w:t>
            </w:r>
          </w:p>
        </w:tc>
        <w:tc>
          <w:tcPr>
            <w:tcW w:type="dxa" w:w="3312"/>
          </w:tcPr>
          <w:p>
            <w:pPr>
              <w:spacing w:after="0"/>
            </w:pPr>
            <w:r/>
            <w:r>
              <w:rPr>
                <w:b w:val="0"/>
                <w:sz w:val="18"/>
              </w:rPr>
              <w:t>Duty and fee from market value and Schedule article</w:t>
            </w:r>
          </w:p>
        </w:tc>
        <w:tc>
          <w:tcPr>
            <w:tcW w:type="dxa" w:w="1584"/>
          </w:tcPr>
          <w:p>
            <w:pPr>
              <w:spacing w:after="0"/>
            </w:pPr>
            <w:r/>
            <w:r>
              <w:rPr>
                <w:b w:val="0"/>
                <w:sz w:val="18"/>
              </w:rPr>
              <w:t>Document Registration</w:t>
            </w:r>
          </w:p>
        </w:tc>
        <w:tc>
          <w:tcPr>
            <w:tcW w:type="dxa" w:w="864"/>
          </w:tcPr>
          <w:p>
            <w:pPr>
              <w:spacing w:after="0"/>
            </w:pPr>
            <w:r/>
            <w:r>
              <w:rPr>
                <w:b w:val="0"/>
                <w:sz w:val="18"/>
              </w:rPr>
              <w:t>Internal</w:t>
            </w:r>
          </w:p>
        </w:tc>
      </w:tr>
      <w:tr>
        <w:tc>
          <w:tcPr>
            <w:tcW w:type="dxa" w:w="2304"/>
          </w:tcPr>
          <w:p>
            <w:pPr>
              <w:spacing w:after="0"/>
            </w:pPr>
            <w:r/>
            <w:r>
              <w:rPr>
                <w:b w:val="0"/>
                <w:sz w:val="18"/>
              </w:rPr>
              <w:t>Land / property records (RTC, urban property records)</w:t>
            </w:r>
          </w:p>
        </w:tc>
        <w:tc>
          <w:tcPr>
            <w:tcW w:type="dxa" w:w="1296"/>
          </w:tcPr>
          <w:p>
            <w:pPr>
              <w:spacing w:after="0"/>
            </w:pPr>
            <w:r/>
            <w:r>
              <w:rPr>
                <w:b w:val="0"/>
                <w:sz w:val="18"/>
              </w:rPr>
              <w:t>Inbound</w:t>
            </w:r>
          </w:p>
        </w:tc>
        <w:tc>
          <w:tcPr>
            <w:tcW w:type="dxa" w:w="3312"/>
          </w:tcPr>
          <w:p>
            <w:pPr>
              <w:spacing w:after="0"/>
            </w:pPr>
            <w:r/>
            <w:r>
              <w:rPr>
                <w:b w:val="0"/>
                <w:sz w:val="18"/>
              </w:rPr>
              <w:t>Prefill survey extent and particulars [list TBD]</w:t>
            </w:r>
          </w:p>
        </w:tc>
        <w:tc>
          <w:tcPr>
            <w:tcW w:type="dxa" w:w="1584"/>
          </w:tcPr>
          <w:p>
            <w:pPr>
              <w:spacing w:after="0"/>
            </w:pPr>
            <w:r/>
            <w:r>
              <w:rPr>
                <w:b w:val="0"/>
                <w:sz w:val="18"/>
              </w:rPr>
              <w:t>Revenue / Urban Development</w:t>
            </w:r>
          </w:p>
        </w:tc>
        <w:tc>
          <w:tcPr>
            <w:tcW w:type="dxa" w:w="864"/>
          </w:tcPr>
          <w:p>
            <w:pPr>
              <w:spacing w:after="0"/>
            </w:pPr>
            <w:r/>
            <w:r>
              <w:rPr>
                <w:b w:val="0"/>
                <w:sz w:val="18"/>
              </w:rPr>
              <w:t>TBD</w:t>
            </w:r>
          </w:p>
        </w:tc>
      </w:tr>
      <w:tr>
        <w:tc>
          <w:tcPr>
            <w:tcW w:type="dxa" w:w="2304"/>
          </w:tcPr>
          <w:p>
            <w:pPr>
              <w:spacing w:after="0"/>
            </w:pPr>
            <w:r/>
            <w:r>
              <w:rPr>
                <w:b w:val="0"/>
                <w:sz w:val="18"/>
              </w:rPr>
              <w:t>Payment gateway / Treasury</w:t>
            </w:r>
          </w:p>
        </w:tc>
        <w:tc>
          <w:tcPr>
            <w:tcW w:type="dxa" w:w="1296"/>
          </w:tcPr>
          <w:p>
            <w:pPr>
              <w:spacing w:after="0"/>
            </w:pPr>
            <w:r/>
            <w:r>
              <w:rPr>
                <w:b w:val="0"/>
                <w:sz w:val="18"/>
              </w:rPr>
              <w:t>Outbound</w:t>
            </w:r>
          </w:p>
        </w:tc>
        <w:tc>
          <w:tcPr>
            <w:tcW w:type="dxa" w:w="3312"/>
          </w:tcPr>
          <w:p>
            <w:pPr>
              <w:spacing w:after="0"/>
            </w:pPr>
            <w:r/>
            <w:r>
              <w:rPr>
                <w:b w:val="0"/>
                <w:sz w:val="18"/>
              </w:rPr>
              <w:t>Duty, extra duty, 50% deposit, difference + interest, refunds</w:t>
            </w:r>
          </w:p>
        </w:tc>
        <w:tc>
          <w:tcPr>
            <w:tcW w:type="dxa" w:w="1584"/>
          </w:tcPr>
          <w:p>
            <w:pPr>
              <w:spacing w:after="0"/>
            </w:pPr>
            <w:r/>
            <w:r>
              <w:rPr>
                <w:b w:val="0"/>
                <w:sz w:val="18"/>
              </w:rPr>
              <w:t>Finance</w:t>
            </w:r>
          </w:p>
        </w:tc>
        <w:tc>
          <w:tcPr>
            <w:tcW w:type="dxa" w:w="864"/>
          </w:tcPr>
          <w:p>
            <w:pPr>
              <w:spacing w:after="0"/>
            </w:pPr>
            <w:r/>
            <w:r>
              <w:rPr>
                <w:b w:val="0"/>
                <w:sz w:val="18"/>
              </w:rPr>
              <w:t>TBD</w:t>
            </w:r>
          </w:p>
        </w:tc>
      </w:tr>
      <w:tr>
        <w:tc>
          <w:tcPr>
            <w:tcW w:type="dxa" w:w="2304"/>
          </w:tcPr>
          <w:p>
            <w:pPr>
              <w:spacing w:after="0"/>
            </w:pPr>
            <w:r/>
            <w:r>
              <w:rPr>
                <w:b w:val="0"/>
                <w:sz w:val="18"/>
              </w:rPr>
              <w:t>SMS / e-mail gateway</w:t>
            </w:r>
          </w:p>
        </w:tc>
        <w:tc>
          <w:tcPr>
            <w:tcW w:type="dxa" w:w="1296"/>
          </w:tcPr>
          <w:p>
            <w:pPr>
              <w:spacing w:after="0"/>
            </w:pPr>
            <w:r/>
            <w:r>
              <w:rPr>
                <w:b w:val="0"/>
                <w:sz w:val="18"/>
              </w:rPr>
              <w:t>Outbound</w:t>
            </w:r>
          </w:p>
        </w:tc>
        <w:tc>
          <w:tcPr>
            <w:tcW w:type="dxa" w:w="3312"/>
          </w:tcPr>
          <w:p>
            <w:pPr>
              <w:spacing w:after="0"/>
            </w:pPr>
            <w:r/>
            <w:r>
              <w:rPr>
                <w:b w:val="0"/>
                <w:sz w:val="18"/>
              </w:rPr>
              <w:t>Notifications (8.11)</w:t>
            </w:r>
          </w:p>
        </w:tc>
        <w:tc>
          <w:tcPr>
            <w:tcW w:type="dxa" w:w="1584"/>
          </w:tcPr>
          <w:p>
            <w:pPr>
              <w:spacing w:after="0"/>
            </w:pPr>
            <w:r/>
            <w:r>
              <w:rPr>
                <w:b w:val="0"/>
                <w:sz w:val="18"/>
              </w:rPr>
              <w:t>Platform</w:t>
            </w:r>
          </w:p>
        </w:tc>
        <w:tc>
          <w:tcPr>
            <w:tcW w:type="dxa" w:w="864"/>
          </w:tcPr>
          <w:p>
            <w:pPr>
              <w:spacing w:after="0"/>
            </w:pPr>
            <w:r/>
            <w:r>
              <w:rPr>
                <w:b w:val="0"/>
                <w:sz w:val="18"/>
              </w:rPr>
              <w:t>Existing</w:t>
            </w:r>
          </w:p>
        </w:tc>
      </w:tr>
      <w:tr>
        <w:tc>
          <w:tcPr>
            <w:tcW w:type="dxa" w:w="2304"/>
          </w:tcPr>
          <w:p>
            <w:pPr>
              <w:spacing w:after="0"/>
            </w:pPr>
            <w:r/>
            <w:r>
              <w:rPr>
                <w:b w:val="0"/>
                <w:sz w:val="18"/>
              </w:rPr>
              <w:t>DSC / signing service</w:t>
            </w:r>
          </w:p>
        </w:tc>
        <w:tc>
          <w:tcPr>
            <w:tcW w:type="dxa" w:w="1296"/>
          </w:tcPr>
          <w:p>
            <w:pPr>
              <w:spacing w:after="0"/>
            </w:pPr>
            <w:r/>
            <w:r>
              <w:rPr>
                <w:b w:val="0"/>
                <w:sz w:val="18"/>
              </w:rPr>
              <w:t>Outbound</w:t>
            </w:r>
          </w:p>
        </w:tc>
        <w:tc>
          <w:tcPr>
            <w:tcW w:type="dxa" w:w="3312"/>
          </w:tcPr>
          <w:p>
            <w:pPr>
              <w:spacing w:after="0"/>
            </w:pPr>
            <w:r/>
            <w:r>
              <w:rPr>
                <w:b w:val="0"/>
                <w:sz w:val="18"/>
              </w:rPr>
              <w:t>DC and appellate orders</w:t>
            </w:r>
          </w:p>
        </w:tc>
        <w:tc>
          <w:tcPr>
            <w:tcW w:type="dxa" w:w="1584"/>
          </w:tcPr>
          <w:p>
            <w:pPr>
              <w:spacing w:after="0"/>
            </w:pPr>
            <w:r/>
            <w:r>
              <w:rPr>
                <w:b w:val="0"/>
                <w:sz w:val="18"/>
              </w:rPr>
              <w:t>Platform</w:t>
            </w:r>
          </w:p>
        </w:tc>
        <w:tc>
          <w:tcPr>
            <w:tcW w:type="dxa" w:w="864"/>
          </w:tcPr>
          <w:p>
            <w:pPr>
              <w:spacing w:after="0"/>
            </w:pPr>
            <w:r/>
            <w:r>
              <w:rPr>
                <w:b w:val="0"/>
                <w:sz w:val="18"/>
              </w:rPr>
              <w:t>Existing</w:t>
            </w:r>
          </w:p>
        </w:tc>
      </w:tr>
      <w:tr>
        <w:tc>
          <w:tcPr>
            <w:tcW w:type="dxa" w:w="2304"/>
          </w:tcPr>
          <w:p>
            <w:pPr>
              <w:spacing w:after="0"/>
            </w:pPr>
            <w:r/>
            <w:r>
              <w:rPr>
                <w:b w:val="0"/>
                <w:sz w:val="18"/>
              </w:rPr>
              <w:t>Kaveri master data</w:t>
            </w:r>
          </w:p>
        </w:tc>
        <w:tc>
          <w:tcPr>
            <w:tcW w:type="dxa" w:w="1296"/>
          </w:tcPr>
          <w:p>
            <w:pPr>
              <w:spacing w:after="0"/>
            </w:pPr>
            <w:r/>
            <w:r>
              <w:rPr>
                <w:b w:val="0"/>
                <w:sz w:val="18"/>
              </w:rPr>
              <w:t>Inbound</w:t>
            </w:r>
          </w:p>
        </w:tc>
        <w:tc>
          <w:tcPr>
            <w:tcW w:type="dxa" w:w="3312"/>
          </w:tcPr>
          <w:p>
            <w:pPr>
              <w:spacing w:after="0"/>
            </w:pPr>
            <w:r/>
            <w:r>
              <w:rPr>
                <w:b w:val="0"/>
                <w:sz w:val="18"/>
              </w:rPr>
              <w:t>District, taluk, hobli, village, ward, SRO, Schedule articles</w:t>
            </w:r>
          </w:p>
        </w:tc>
        <w:tc>
          <w:tcPr>
            <w:tcW w:type="dxa" w:w="1584"/>
          </w:tcPr>
          <w:p>
            <w:pPr>
              <w:spacing w:after="0"/>
            </w:pPr>
            <w:r/>
            <w:r>
              <w:rPr>
                <w:b w:val="0"/>
                <w:sz w:val="18"/>
              </w:rPr>
              <w:t>Platform</w:t>
            </w:r>
          </w:p>
        </w:tc>
        <w:tc>
          <w:tcPr>
            <w:tcW w:type="dxa" w:w="864"/>
          </w:tcPr>
          <w:p>
            <w:pPr>
              <w:spacing w:after="0"/>
            </w:pPr>
            <w:r/>
            <w:r>
              <w:rPr>
                <w:b w:val="0"/>
                <w:sz w:val="18"/>
              </w:rPr>
              <w:t>Existing</w:t>
            </w:r>
          </w:p>
        </w:tc>
      </w:tr>
    </w:tbl>
    <w:p/>
    <w:p>
      <w:pPr/>
      <w:r>
        <w:t>Interface requirements: [API list TBD by Architect — KSRSAC lookup / layer sync, CVC rate service, fee engine, payment and refund APIs]</w:t>
      </w:r>
    </w:p>
    <w:p>
      <w:pPr>
        <w:pStyle w:val="Heading3"/>
      </w:pPr>
      <w:r>
        <w:t>8.16 Data requirements</w:t>
      </w:r>
    </w:p>
    <w:p>
      <w:pPr>
        <w:pStyle w:val="Heading4"/>
      </w:pPr>
      <w:r>
        <w:t>8.16.1 Core entities (logical)</w:t>
      </w:r>
    </w:p>
    <w:p>
      <w:pPr>
        <w:pStyle w:val="ListBullet"/>
      </w:pPr>
      <w:r>
        <w:t>PropertyLocation (district, taluk, hobli / town, village / ward, SRO), PropertyIdentifier (survey, Pot Hissa, city survey, khata, UPIN / ULPIN), PropertyFeatures (type, extent, unit, building particulars).</w:t>
      </w:r>
    </w:p>
    <w:p>
      <w:pPr>
        <w:pStyle w:val="ListBullet"/>
      </w:pPr>
      <w:r>
        <w:t>GISLookup (KSRSAC request / response ID, parcel polygon, centroid, nearest road, layer version, match result), GISSnapshot (image, coordinates, timestamp), ManualAreaSelection (reason, actor).</w:t>
      </w:r>
    </w:p>
    <w:p>
      <w:pPr>
        <w:pStyle w:val="ListBullet"/>
      </w:pPr>
      <w:r>
        <w:t>RateVersionRef (CVC version ID, effective date, valuation area, rate head, rate), ValuationRecord (version, guideline value, components), ValuationComponent, MarketValueDecision (consideration, basis, Government flag, adjudicated override), DutyFeeResult.</w:t>
      </w:r>
    </w:p>
    <w:p>
      <w:pPr>
        <w:pStyle w:val="ListBullet"/>
      </w:pPr>
      <w:r>
        <w:t>SRValuationDecision (accept / send back / refer, remarks), UndervaluationCase (trigger, SR estimate, reasons), FormI, DCReference, Hearing, DCOrder, Appeal, Deposit, DutyDifference (interest), Refund.</w:t>
      </w:r>
    </w:p>
    <w:p>
      <w:pPr>
        <w:pStyle w:val="ListBullet"/>
      </w:pPr>
      <w:r>
        <w:t>MasterCrosswalk (Kaveri code, CVC area, KSRSAC ID, effective from / to), RateGapRequest.</w:t>
      </w:r>
    </w:p>
    <w:p>
      <w:pPr>
        <w:pStyle w:val="Heading4"/>
      </w:pPr>
      <w:r>
        <w:t>8.16.2 Retention</w:t>
      </w:r>
    </w:p>
    <w:p>
      <w:pPr/>
      <w:r>
        <w:t>Valuation records, GIS snapshots and Sec. 45-A case records shall be preserved for the life of the registered document record.</w:t>
      </w:r>
    </w:p>
    <w:p>
      <w:pPr>
        <w:pStyle w:val="Heading4"/>
      </w:pPr>
      <w:r>
        <w:t>8.16.3 Migration (high level)</w:t>
      </w:r>
    </w:p>
    <w:tbl>
      <w:tblPr>
        <w:tblStyle w:val="TableGrid"/>
        <w:tblW w:type="auto" w:w="0"/>
        <w:tblLook w:firstColumn="1" w:firstRow="1" w:lastColumn="0" w:lastRow="0" w:noHBand="0" w:noVBand="1" w:val="04A0"/>
      </w:tblPr>
      <w:tblGrid>
        <w:gridCol w:w="10224"/>
      </w:tblGrid>
      <w:tr>
        <w:tc>
          <w:tcPr>
            <w:tcW w:type="dxa" w:w="9360"/>
            <w:shd w:val="clear" w:color="auto" w:fill="D9E2F3"/>
          </w:tcPr>
          <w:p>
            <w:pPr>
              <w:spacing w:after="0"/>
            </w:pPr>
            <w:r/>
            <w:r>
              <w:rPr>
                <w:b/>
                <w:sz w:val="18"/>
              </w:rPr>
              <w:t>Topic</w:t>
            </w:r>
          </w:p>
        </w:tc>
      </w:tr>
      <w:tr>
        <w:tc>
          <w:tcPr>
            <w:tcW w:type="dxa" w:w="9360"/>
          </w:tcPr>
          <w:p>
            <w:pPr>
              <w:spacing w:after="0"/>
            </w:pPr>
            <w:r/>
            <w:r>
              <w:rPr>
                <w:b w:val="0"/>
                <w:sz w:val="18"/>
              </w:rPr>
              <w:t>Pending Sec. 45-A cases from Kaveri 1.0 / 2.0 with orders, deposits and payments (27140)</w:t>
            </w:r>
          </w:p>
        </w:tc>
      </w:tr>
      <w:tr>
        <w:tc>
          <w:tcPr>
            <w:tcW w:type="dxa" w:w="9360"/>
          </w:tcPr>
          <w:p>
            <w:pPr>
              <w:spacing w:after="0"/>
            </w:pPr>
            <w:r/>
            <w:r>
              <w:rPr>
                <w:b w:val="0"/>
                <w:sz w:val="18"/>
              </w:rPr>
              <w:t>Historic CVC rate versions needed for back-dated execution dates (from CVC module)</w:t>
            </w:r>
          </w:p>
        </w:tc>
      </w:tr>
      <w:tr>
        <w:tc>
          <w:tcPr>
            <w:tcW w:type="dxa" w:w="9360"/>
          </w:tcPr>
          <w:p>
            <w:pPr>
              <w:spacing w:after="0"/>
            </w:pPr>
            <w:r/>
            <w:r>
              <w:rPr>
                <w:b w:val="0"/>
                <w:sz w:val="18"/>
              </w:rPr>
              <w:t>Village / road / survey crosswalk baseline between Kaveri, CVC and KSRSAC</w:t>
            </w:r>
          </w:p>
        </w:tc>
      </w:tr>
    </w:tbl>
    <w:p/>
    <w:p>
      <w:pPr>
        <w:pStyle w:val="Heading3"/>
      </w:pPr>
      <w:r>
        <w:t>8.17 User stories and traceability (01-09-2026 discussion)</w:t>
      </w:r>
    </w:p>
    <w:p>
      <w:pPr/>
      <w:r>
        <w:t>User stories recorded in the 01-09-2026 discussion, mapped to the implementing requirements. Stories owned by the CVC rate-fixation process are traced to BRD-K3-CVC-GVF-001 and consumed here through the rate interface.</w:t>
      </w:r>
    </w:p>
    <w:tbl>
      <w:tblPr>
        <w:tblStyle w:val="TableGrid"/>
        <w:tblW w:type="auto" w:w="0"/>
        <w:tblLook w:firstColumn="1" w:firstRow="1" w:lastColumn="0" w:lastRow="0" w:noHBand="0" w:noVBand="1" w:val="04A0"/>
      </w:tblPr>
      <w:tblGrid>
        <w:gridCol w:w="2556"/>
        <w:gridCol w:w="2556"/>
        <w:gridCol w:w="2556"/>
        <w:gridCol w:w="2556"/>
      </w:tblGrid>
      <w:tr>
        <w:tc>
          <w:tcPr>
            <w:tcW w:type="dxa" w:w="1296"/>
            <w:shd w:val="clear" w:color="auto" w:fill="D9E2F3"/>
          </w:tcPr>
          <w:p>
            <w:pPr>
              <w:spacing w:after="0"/>
            </w:pPr>
            <w:r/>
            <w:r>
              <w:rPr>
                <w:b/>
                <w:sz w:val="18"/>
              </w:rPr>
              <w:t>US ID</w:t>
            </w:r>
          </w:p>
        </w:tc>
        <w:tc>
          <w:tcPr>
            <w:tcW w:type="dxa" w:w="4320"/>
            <w:shd w:val="clear" w:color="auto" w:fill="D9E2F3"/>
          </w:tcPr>
          <w:p>
            <w:pPr>
              <w:spacing w:after="0"/>
            </w:pPr>
            <w:r/>
            <w:r>
              <w:rPr>
                <w:b/>
                <w:sz w:val="18"/>
              </w:rPr>
              <w:t>User story</w:t>
            </w:r>
          </w:p>
        </w:tc>
        <w:tc>
          <w:tcPr>
            <w:tcW w:type="dxa" w:w="1584"/>
            <w:shd w:val="clear" w:color="auto" w:fill="D9E2F3"/>
          </w:tcPr>
          <w:p>
            <w:pPr>
              <w:spacing w:after="0"/>
            </w:pPr>
            <w:r/>
            <w:r>
              <w:rPr>
                <w:b/>
                <w:sz w:val="18"/>
              </w:rPr>
              <w:t>Legal / source ref</w:t>
            </w:r>
          </w:p>
        </w:tc>
        <w:tc>
          <w:tcPr>
            <w:tcW w:type="dxa" w:w="2160"/>
            <w:shd w:val="clear" w:color="auto" w:fill="D9E2F3"/>
          </w:tcPr>
          <w:p>
            <w:pPr>
              <w:spacing w:after="0"/>
            </w:pPr>
            <w:r/>
            <w:r>
              <w:rPr>
                <w:b/>
                <w:sz w:val="18"/>
              </w:rPr>
              <w:t>Implemented by</w:t>
            </w:r>
          </w:p>
        </w:tc>
      </w:tr>
      <w:tr>
        <w:tc>
          <w:tcPr>
            <w:tcW w:type="dxa" w:w="1296"/>
          </w:tcPr>
          <w:p>
            <w:pPr>
              <w:spacing w:after="0"/>
            </w:pPr>
            <w:r/>
            <w:r>
              <w:rPr>
                <w:b w:val="0"/>
                <w:sz w:val="18"/>
              </w:rPr>
              <w:t>US-GV-01</w:t>
            </w:r>
          </w:p>
        </w:tc>
        <w:tc>
          <w:tcPr>
            <w:tcW w:type="dxa" w:w="4320"/>
          </w:tcPr>
          <w:p>
            <w:pPr>
              <w:spacing w:after="0"/>
            </w:pPr>
            <w:r/>
            <w:r>
              <w:rPr>
                <w:b w:val="0"/>
                <w:sz w:val="18"/>
              </w:rPr>
              <w:t>As a Sub-Registrar, I want to compare the consideration with the guidelines published under Sec. 45-B, so that if undervalued I can estimate the value, collect the extra duty, or refer to the Deputy Commissioner</w:t>
            </w:r>
          </w:p>
        </w:tc>
        <w:tc>
          <w:tcPr>
            <w:tcW w:type="dxa" w:w="1584"/>
          </w:tcPr>
          <w:p>
            <w:pPr>
              <w:spacing w:after="0"/>
            </w:pPr>
            <w:r/>
            <w:r>
              <w:rPr>
                <w:b w:val="0"/>
                <w:sz w:val="18"/>
              </w:rPr>
              <w:t>Sec. 45-A</w:t>
            </w:r>
          </w:p>
        </w:tc>
        <w:tc>
          <w:tcPr>
            <w:tcW w:type="dxa" w:w="2160"/>
          </w:tcPr>
          <w:p>
            <w:pPr>
              <w:spacing w:after="0"/>
            </w:pPr>
            <w:r/>
            <w:r>
              <w:rPr>
                <w:b w:val="0"/>
                <w:sz w:val="18"/>
              </w:rPr>
              <w:t>7.1 steps 13–14; 7.2; FR-GVC-041, FR-UV-001–006</w:t>
            </w:r>
          </w:p>
        </w:tc>
      </w:tr>
      <w:tr>
        <w:tc>
          <w:tcPr>
            <w:tcW w:type="dxa" w:w="1296"/>
          </w:tcPr>
          <w:p>
            <w:pPr>
              <w:spacing w:after="0"/>
            </w:pPr>
            <w:r/>
            <w:r>
              <w:rPr>
                <w:b w:val="0"/>
                <w:sz w:val="18"/>
              </w:rPr>
              <w:t>US-GV-02</w:t>
            </w:r>
          </w:p>
        </w:tc>
        <w:tc>
          <w:tcPr>
            <w:tcW w:type="dxa" w:w="4320"/>
          </w:tcPr>
          <w:p>
            <w:pPr>
              <w:spacing w:after="0"/>
            </w:pPr>
            <w:r/>
            <w:r>
              <w:rPr>
                <w:b w:val="0"/>
                <w:sz w:val="18"/>
              </w:rPr>
              <w:t>As a citizen / SR, I want to use the official guidelines published and revised under Sec. 45-B, so that duty is computed on current notified rates</w:t>
            </w:r>
          </w:p>
        </w:tc>
        <w:tc>
          <w:tcPr>
            <w:tcW w:type="dxa" w:w="1584"/>
          </w:tcPr>
          <w:p>
            <w:pPr>
              <w:spacing w:after="0"/>
            </w:pPr>
            <w:r/>
            <w:r>
              <w:rPr>
                <w:b w:val="0"/>
                <w:sz w:val="18"/>
              </w:rPr>
              <w:t>Sec. 45-B</w:t>
            </w:r>
          </w:p>
        </w:tc>
        <w:tc>
          <w:tcPr>
            <w:tcW w:type="dxa" w:w="2160"/>
          </w:tcPr>
          <w:p>
            <w:pPr>
              <w:spacing w:after="0"/>
            </w:pPr>
            <w:r/>
            <w:r>
              <w:rPr>
                <w:b w:val="0"/>
                <w:sz w:val="18"/>
              </w:rPr>
              <w:t>FR-GVC-010–013</w:t>
            </w:r>
          </w:p>
        </w:tc>
      </w:tr>
      <w:tr>
        <w:tc>
          <w:tcPr>
            <w:tcW w:type="dxa" w:w="1296"/>
          </w:tcPr>
          <w:p>
            <w:pPr>
              <w:spacing w:after="0"/>
            </w:pPr>
            <w:r/>
            <w:r>
              <w:rPr>
                <w:b w:val="0"/>
                <w:sz w:val="18"/>
              </w:rPr>
              <w:t>US-GV-03</w:t>
            </w:r>
          </w:p>
        </w:tc>
        <w:tc>
          <w:tcPr>
            <w:tcW w:type="dxa" w:w="4320"/>
          </w:tcPr>
          <w:p>
            <w:pPr>
              <w:spacing w:after="0"/>
            </w:pPr>
            <w:r/>
            <w:r>
              <w:rPr>
                <w:b w:val="0"/>
                <w:sz w:val="18"/>
              </w:rPr>
              <w:t>As a citizen / SR, I want to calculate ad valorem duty on market value for Schedule instruments, so that the correct article and rate are applied</w:t>
            </w:r>
          </w:p>
        </w:tc>
        <w:tc>
          <w:tcPr>
            <w:tcW w:type="dxa" w:w="1584"/>
          </w:tcPr>
          <w:p>
            <w:pPr>
              <w:spacing w:after="0"/>
            </w:pPr>
            <w:r/>
            <w:r>
              <w:rPr>
                <w:b w:val="0"/>
                <w:sz w:val="18"/>
              </w:rPr>
              <w:t>Sec. 3 + Schedule</w:t>
            </w:r>
          </w:p>
        </w:tc>
        <w:tc>
          <w:tcPr>
            <w:tcW w:type="dxa" w:w="2160"/>
          </w:tcPr>
          <w:p>
            <w:pPr>
              <w:spacing w:after="0"/>
            </w:pPr>
            <w:r/>
            <w:r>
              <w:rPr>
                <w:b w:val="0"/>
                <w:sz w:val="18"/>
              </w:rPr>
              <w:t>FR-GVC-033, FR-GVC-034</w:t>
            </w:r>
          </w:p>
        </w:tc>
      </w:tr>
      <w:tr>
        <w:tc>
          <w:tcPr>
            <w:tcW w:type="dxa" w:w="1296"/>
          </w:tcPr>
          <w:p>
            <w:pPr>
              <w:spacing w:after="0"/>
            </w:pPr>
            <w:r/>
            <w:r>
              <w:rPr>
                <w:b w:val="0"/>
                <w:sz w:val="18"/>
              </w:rPr>
              <w:t>US-GV-04</w:t>
            </w:r>
          </w:p>
        </w:tc>
        <w:tc>
          <w:tcPr>
            <w:tcW w:type="dxa" w:w="4320"/>
          </w:tcPr>
          <w:p>
            <w:pPr>
              <w:spacing w:after="0"/>
            </w:pPr>
            <w:r/>
            <w:r>
              <w:rPr>
                <w:b w:val="0"/>
                <w:sz w:val="18"/>
              </w:rPr>
              <w:t>As a SR, I want to capture property particulars and market value in Form I when starting a Sec. 45-A reference</w:t>
            </w:r>
          </w:p>
        </w:tc>
        <w:tc>
          <w:tcPr>
            <w:tcW w:type="dxa" w:w="1584"/>
          </w:tcPr>
          <w:p>
            <w:pPr>
              <w:spacing w:after="0"/>
            </w:pPr>
            <w:r/>
            <w:r>
              <w:rPr>
                <w:b w:val="0"/>
                <w:sz w:val="18"/>
              </w:rPr>
              <w:t>Undervaluation Rules 1977</w:t>
            </w:r>
          </w:p>
        </w:tc>
        <w:tc>
          <w:tcPr>
            <w:tcW w:type="dxa" w:w="2160"/>
          </w:tcPr>
          <w:p>
            <w:pPr>
              <w:spacing w:after="0"/>
            </w:pPr>
            <w:r/>
            <w:r>
              <w:rPr>
                <w:b w:val="0"/>
                <w:sz w:val="18"/>
              </w:rPr>
              <w:t>FR-UV-005</w:t>
            </w:r>
          </w:p>
        </w:tc>
      </w:tr>
      <w:tr>
        <w:tc>
          <w:tcPr>
            <w:tcW w:type="dxa" w:w="1296"/>
          </w:tcPr>
          <w:p>
            <w:pPr>
              <w:spacing w:after="0"/>
            </w:pPr>
            <w:r/>
            <w:r>
              <w:rPr>
                <w:b w:val="0"/>
                <w:sz w:val="18"/>
              </w:rPr>
              <w:t>US-GV-05</w:t>
            </w:r>
          </w:p>
        </w:tc>
        <w:tc>
          <w:tcPr>
            <w:tcW w:type="dxa" w:w="4320"/>
          </w:tcPr>
          <w:p>
            <w:pPr>
              <w:spacing w:after="0"/>
            </w:pPr>
            <w:r/>
            <w:r>
              <w:rPr>
                <w:b w:val="0"/>
                <w:sz w:val="18"/>
              </w:rPr>
              <w:t>As a citizen / SR, I want to enter survey number, territorial division and property description, so that the correct guideline rate is picked</w:t>
            </w:r>
          </w:p>
        </w:tc>
        <w:tc>
          <w:tcPr>
            <w:tcW w:type="dxa" w:w="1584"/>
          </w:tcPr>
          <w:p>
            <w:pPr>
              <w:spacing w:after="0"/>
            </w:pPr>
            <w:r/>
            <w:r>
              <w:rPr>
                <w:b w:val="0"/>
                <w:sz w:val="18"/>
              </w:rPr>
              <w:t>Registration Rules 13–15</w:t>
            </w:r>
          </w:p>
        </w:tc>
        <w:tc>
          <w:tcPr>
            <w:tcW w:type="dxa" w:w="2160"/>
          </w:tcPr>
          <w:p>
            <w:pPr>
              <w:spacing w:after="0"/>
            </w:pPr>
            <w:r/>
            <w:r>
              <w:rPr>
                <w:b w:val="0"/>
                <w:sz w:val="18"/>
              </w:rPr>
              <w:t>FR-GVC-001, FR-GVC-002</w:t>
            </w:r>
          </w:p>
        </w:tc>
      </w:tr>
      <w:tr>
        <w:tc>
          <w:tcPr>
            <w:tcW w:type="dxa" w:w="1296"/>
          </w:tcPr>
          <w:p>
            <w:pPr>
              <w:spacing w:after="0"/>
            </w:pPr>
            <w:r/>
            <w:r>
              <w:rPr>
                <w:b w:val="0"/>
                <w:sz w:val="18"/>
              </w:rPr>
              <w:t>US-CVC-01</w:t>
            </w:r>
          </w:p>
        </w:tc>
        <w:tc>
          <w:tcPr>
            <w:tcW w:type="dxa" w:w="4320"/>
          </w:tcPr>
          <w:p>
            <w:pPr>
              <w:spacing w:after="0"/>
            </w:pPr>
            <w:r/>
            <w:r>
              <w:rPr>
                <w:b w:val="0"/>
                <w:sz w:val="18"/>
              </w:rPr>
              <w:t>As IGR / CVC, I want to estimate, publish and revise guidelines and constitute sub-committees</w:t>
            </w:r>
          </w:p>
        </w:tc>
        <w:tc>
          <w:tcPr>
            <w:tcW w:type="dxa" w:w="1584"/>
          </w:tcPr>
          <w:p>
            <w:pPr>
              <w:spacing w:after="0"/>
            </w:pPr>
            <w:r/>
            <w:r>
              <w:rPr>
                <w:b w:val="0"/>
                <w:sz w:val="18"/>
              </w:rPr>
              <w:t>Sec. 45-B</w:t>
            </w:r>
          </w:p>
        </w:tc>
        <w:tc>
          <w:tcPr>
            <w:tcW w:type="dxa" w:w="2160"/>
          </w:tcPr>
          <w:p>
            <w:pPr>
              <w:spacing w:after="0"/>
            </w:pPr>
            <w:r/>
            <w:r>
              <w:rPr>
                <w:b w:val="0"/>
                <w:sz w:val="18"/>
              </w:rPr>
              <w:t>Upstream — BRD-K3-CVC-GVF-001</w:t>
            </w:r>
          </w:p>
        </w:tc>
      </w:tr>
      <w:tr>
        <w:tc>
          <w:tcPr>
            <w:tcW w:type="dxa" w:w="1296"/>
          </w:tcPr>
          <w:p>
            <w:pPr>
              <w:spacing w:after="0"/>
            </w:pPr>
            <w:r/>
            <w:r>
              <w:rPr>
                <w:b w:val="0"/>
                <w:sz w:val="18"/>
              </w:rPr>
              <w:t>US-CVC-02</w:t>
            </w:r>
          </w:p>
        </w:tc>
        <w:tc>
          <w:tcPr>
            <w:tcW w:type="dxa" w:w="4320"/>
          </w:tcPr>
          <w:p>
            <w:pPr>
              <w:spacing w:after="0"/>
            </w:pPr>
            <w:r/>
            <w:r>
              <w:rPr>
                <w:b w:val="0"/>
                <w:sz w:val="18"/>
              </w:rPr>
              <w:t>As a CVC data-entry officer, I want to publish rates for SR and citizen logins, so that rates do not go missing</w:t>
            </w:r>
          </w:p>
        </w:tc>
        <w:tc>
          <w:tcPr>
            <w:tcW w:type="dxa" w:w="1584"/>
          </w:tcPr>
          <w:p>
            <w:pPr>
              <w:spacing w:after="0"/>
            </w:pPr>
            <w:r/>
            <w:r>
              <w:rPr>
                <w:b w:val="0"/>
                <w:sz w:val="18"/>
              </w:rPr>
              <w:t>Sec. 45-B</w:t>
            </w:r>
          </w:p>
        </w:tc>
        <w:tc>
          <w:tcPr>
            <w:tcW w:type="dxa" w:w="2160"/>
          </w:tcPr>
          <w:p>
            <w:pPr>
              <w:spacing w:after="0"/>
            </w:pPr>
            <w:r/>
            <w:r>
              <w:rPr>
                <w:b w:val="0"/>
                <w:sz w:val="18"/>
              </w:rPr>
              <w:t>Upstream — BRD-K3-CVC-GVF-001; consumption FR-GVC-010, FR-GVC-012</w:t>
            </w:r>
          </w:p>
        </w:tc>
      </w:tr>
      <w:tr>
        <w:tc>
          <w:tcPr>
            <w:tcW w:type="dxa" w:w="1296"/>
          </w:tcPr>
          <w:p>
            <w:pPr>
              <w:spacing w:after="0"/>
            </w:pPr>
            <w:r/>
            <w:r>
              <w:rPr>
                <w:b w:val="0"/>
                <w:sz w:val="18"/>
              </w:rPr>
              <w:t>US-CVC-03</w:t>
            </w:r>
          </w:p>
        </w:tc>
        <w:tc>
          <w:tcPr>
            <w:tcW w:type="dxa" w:w="4320"/>
          </w:tcPr>
          <w:p>
            <w:pPr>
              <w:spacing w:after="0"/>
            </w:pPr>
            <w:r/>
            <w:r>
              <w:rPr>
                <w:b w:val="0"/>
                <w:sz w:val="18"/>
              </w:rPr>
              <w:t>As an administrator, I want CVC maintained as the statutory body in Sec. 2(ac)</w:t>
            </w:r>
          </w:p>
        </w:tc>
        <w:tc>
          <w:tcPr>
            <w:tcW w:type="dxa" w:w="1584"/>
          </w:tcPr>
          <w:p>
            <w:pPr>
              <w:spacing w:after="0"/>
            </w:pPr>
            <w:r/>
            <w:r>
              <w:rPr>
                <w:b w:val="0"/>
                <w:sz w:val="18"/>
              </w:rPr>
              <w:t>Sec. 2(ac)</w:t>
            </w:r>
          </w:p>
        </w:tc>
        <w:tc>
          <w:tcPr>
            <w:tcW w:type="dxa" w:w="2160"/>
          </w:tcPr>
          <w:p>
            <w:pPr>
              <w:spacing w:after="0"/>
            </w:pPr>
            <w:r/>
            <w:r>
              <w:rPr>
                <w:b w:val="0"/>
                <w:sz w:val="18"/>
              </w:rPr>
              <w:t>Upstream — BRD-K3-CVC-GVF-001</w:t>
            </w:r>
          </w:p>
        </w:tc>
      </w:tr>
      <w:tr>
        <w:tc>
          <w:tcPr>
            <w:tcW w:type="dxa" w:w="1296"/>
          </w:tcPr>
          <w:p>
            <w:pPr>
              <w:spacing w:after="0"/>
            </w:pPr>
            <w:r/>
            <w:r>
              <w:rPr>
                <w:b w:val="0"/>
                <w:sz w:val="18"/>
              </w:rPr>
              <w:t>US-CVC-04</w:t>
            </w:r>
          </w:p>
        </w:tc>
        <w:tc>
          <w:tcPr>
            <w:tcW w:type="dxa" w:w="4320"/>
          </w:tcPr>
          <w:p>
            <w:pPr>
              <w:spacing w:after="0"/>
            </w:pPr>
            <w:r/>
            <w:r>
              <w:rPr>
                <w:b w:val="0"/>
                <w:sz w:val="18"/>
              </w:rPr>
              <w:t>As a SR, I want to apply CVC guidelines at registration, so that duty is charged on the higher of consideration and guideline value</w:t>
            </w:r>
          </w:p>
        </w:tc>
        <w:tc>
          <w:tcPr>
            <w:tcW w:type="dxa" w:w="1584"/>
          </w:tcPr>
          <w:p>
            <w:pPr>
              <w:spacing w:after="0"/>
            </w:pPr>
            <w:r/>
            <w:r>
              <w:rPr>
                <w:b w:val="0"/>
                <w:sz w:val="18"/>
              </w:rPr>
              <w:t>Sec. 45-A; Sec. 2(mm)</w:t>
            </w:r>
          </w:p>
        </w:tc>
        <w:tc>
          <w:tcPr>
            <w:tcW w:type="dxa" w:w="2160"/>
          </w:tcPr>
          <w:p>
            <w:pPr>
              <w:spacing w:after="0"/>
            </w:pPr>
            <w:r/>
            <w:r>
              <w:rPr>
                <w:b w:val="0"/>
                <w:sz w:val="18"/>
              </w:rPr>
              <w:t>FR-GVC-031</w:t>
            </w:r>
          </w:p>
        </w:tc>
      </w:tr>
      <w:tr>
        <w:tc>
          <w:tcPr>
            <w:tcW w:type="dxa" w:w="1296"/>
          </w:tcPr>
          <w:p>
            <w:pPr>
              <w:spacing w:after="0"/>
            </w:pPr>
            <w:r/>
            <w:r>
              <w:rPr>
                <w:b w:val="0"/>
                <w:sz w:val="18"/>
              </w:rPr>
              <w:t>US-CVC-05</w:t>
            </w:r>
          </w:p>
        </w:tc>
        <w:tc>
          <w:tcPr>
            <w:tcW w:type="dxa" w:w="4320"/>
          </w:tcPr>
          <w:p>
            <w:pPr>
              <w:spacing w:after="0"/>
            </w:pPr>
            <w:r/>
            <w:r>
              <w:rPr>
                <w:b w:val="0"/>
                <w:sz w:val="18"/>
              </w:rPr>
              <w:t>As a citizen / SR, I want to see and use the DR's adjudicated Sec. 45-A value instead of a higher guideline figure</w:t>
            </w:r>
          </w:p>
        </w:tc>
        <w:tc>
          <w:tcPr>
            <w:tcW w:type="dxa" w:w="1584"/>
          </w:tcPr>
          <w:p>
            <w:pPr>
              <w:spacing w:after="0"/>
            </w:pPr>
            <w:r/>
            <w:r>
              <w:rPr>
                <w:b w:val="0"/>
                <w:sz w:val="18"/>
              </w:rPr>
              <w:t>Sec. 45-A</w:t>
            </w:r>
          </w:p>
        </w:tc>
        <w:tc>
          <w:tcPr>
            <w:tcW w:type="dxa" w:w="2160"/>
          </w:tcPr>
          <w:p>
            <w:pPr>
              <w:spacing w:after="0"/>
            </w:pPr>
            <w:r/>
            <w:r>
              <w:rPr>
                <w:b w:val="0"/>
                <w:sz w:val="18"/>
              </w:rPr>
              <w:t>FR-GVC-035, FR-UV-014</w:t>
            </w:r>
          </w:p>
        </w:tc>
      </w:tr>
      <w:tr>
        <w:tc>
          <w:tcPr>
            <w:tcW w:type="dxa" w:w="1296"/>
          </w:tcPr>
          <w:p>
            <w:pPr>
              <w:spacing w:after="0"/>
            </w:pPr>
            <w:r/>
            <w:r>
              <w:rPr>
                <w:b w:val="0"/>
                <w:sz w:val="18"/>
              </w:rPr>
              <w:t>US-CVC-06</w:t>
            </w:r>
          </w:p>
        </w:tc>
        <w:tc>
          <w:tcPr>
            <w:tcW w:type="dxa" w:w="4320"/>
          </w:tcPr>
          <w:p>
            <w:pPr>
              <w:spacing w:after="0"/>
            </w:pPr>
            <w:r/>
            <w:r>
              <w:rPr>
                <w:b w:val="0"/>
                <w:sz w:val="18"/>
              </w:rPr>
              <w:t>As a SR / DC, I want Form I capture, DC determination and appeal under the 1977 Rules without data or payment stuck states</w:t>
            </w:r>
          </w:p>
        </w:tc>
        <w:tc>
          <w:tcPr>
            <w:tcW w:type="dxa" w:w="1584"/>
          </w:tcPr>
          <w:p>
            <w:pPr>
              <w:spacing w:after="0"/>
            </w:pPr>
            <w:r/>
            <w:r>
              <w:rPr>
                <w:b w:val="0"/>
                <w:sz w:val="18"/>
              </w:rPr>
              <w:t>Undervaluation Rules 1977</w:t>
            </w:r>
          </w:p>
        </w:tc>
        <w:tc>
          <w:tcPr>
            <w:tcW w:type="dxa" w:w="2160"/>
          </w:tcPr>
          <w:p>
            <w:pPr>
              <w:spacing w:after="0"/>
            </w:pPr>
            <w:r/>
            <w:r>
              <w:rPr>
                <w:b w:val="0"/>
                <w:sz w:val="18"/>
              </w:rPr>
              <w:t>FR-UV-005, FR-UV-010–024</w:t>
            </w:r>
          </w:p>
        </w:tc>
      </w:tr>
      <w:tr>
        <w:tc>
          <w:tcPr>
            <w:tcW w:type="dxa" w:w="1296"/>
          </w:tcPr>
          <w:p>
            <w:pPr>
              <w:spacing w:after="0"/>
            </w:pPr>
            <w:r/>
            <w:r>
              <w:rPr>
                <w:b w:val="0"/>
                <w:sz w:val="18"/>
              </w:rPr>
              <w:t>US-CVC-07</w:t>
            </w:r>
          </w:p>
        </w:tc>
        <w:tc>
          <w:tcPr>
            <w:tcW w:type="dxa" w:w="4320"/>
          </w:tcPr>
          <w:p>
            <w:pPr>
              <w:spacing w:after="0"/>
            </w:pPr>
            <w:r/>
            <w:r>
              <w:rPr>
                <w:b w:val="0"/>
                <w:sz w:val="18"/>
              </w:rPr>
              <w:t>As a CVC administrator, I want the Valuation Module to follow Sec. 45-B as strengthened by Act 8 of 2003</w:t>
            </w:r>
          </w:p>
        </w:tc>
        <w:tc>
          <w:tcPr>
            <w:tcW w:type="dxa" w:w="1584"/>
          </w:tcPr>
          <w:p>
            <w:pPr>
              <w:spacing w:after="0"/>
            </w:pPr>
            <w:r/>
            <w:r>
              <w:rPr>
                <w:b w:val="0"/>
                <w:sz w:val="18"/>
              </w:rPr>
              <w:t>Act 8 of 2003</w:t>
            </w:r>
          </w:p>
        </w:tc>
        <w:tc>
          <w:tcPr>
            <w:tcW w:type="dxa" w:w="2160"/>
          </w:tcPr>
          <w:p>
            <w:pPr>
              <w:spacing w:after="0"/>
            </w:pPr>
            <w:r/>
            <w:r>
              <w:rPr>
                <w:b w:val="0"/>
                <w:sz w:val="18"/>
              </w:rPr>
              <w:t>Upstream — BRD-K3-CVC-GVF-001</w:t>
            </w:r>
          </w:p>
        </w:tc>
      </w:tr>
      <w:tr>
        <w:tc>
          <w:tcPr>
            <w:tcW w:type="dxa" w:w="1296"/>
          </w:tcPr>
          <w:p>
            <w:pPr>
              <w:spacing w:after="0"/>
            </w:pPr>
            <w:r/>
            <w:r>
              <w:rPr>
                <w:b w:val="0"/>
                <w:sz w:val="18"/>
              </w:rPr>
              <w:t>US-CVC-08</w:t>
            </w:r>
          </w:p>
        </w:tc>
        <w:tc>
          <w:tcPr>
            <w:tcW w:type="dxa" w:w="4320"/>
          </w:tcPr>
          <w:p>
            <w:pPr>
              <w:spacing w:after="0"/>
            </w:pPr>
            <w:r/>
            <w:r>
              <w:rPr>
                <w:b w:val="0"/>
                <w:sz w:val="18"/>
              </w:rPr>
              <w:t>As a DC / DR, I want the undervaluation workflow as amended by RD 264 MUNOMU 99 (no provisional / Rule 6 path)</w:t>
            </w:r>
          </w:p>
        </w:tc>
        <w:tc>
          <w:tcPr>
            <w:tcW w:type="dxa" w:w="1584"/>
          </w:tcPr>
          <w:p>
            <w:pPr>
              <w:spacing w:after="0"/>
            </w:pPr>
            <w:r/>
            <w:r>
              <w:rPr>
                <w:b w:val="0"/>
                <w:sz w:val="18"/>
              </w:rPr>
              <w:t>RD 264 MUNOMU 99</w:t>
            </w:r>
          </w:p>
        </w:tc>
        <w:tc>
          <w:tcPr>
            <w:tcW w:type="dxa" w:w="2160"/>
          </w:tcPr>
          <w:p>
            <w:pPr>
              <w:spacing w:after="0"/>
            </w:pPr>
            <w:r/>
            <w:r>
              <w:rPr>
                <w:b w:val="0"/>
                <w:sz w:val="18"/>
              </w:rPr>
              <w:t>FR-UV-025</w:t>
            </w:r>
          </w:p>
        </w:tc>
      </w:tr>
      <w:tr>
        <w:tc>
          <w:tcPr>
            <w:tcW w:type="dxa" w:w="1296"/>
          </w:tcPr>
          <w:p>
            <w:pPr>
              <w:spacing w:after="0"/>
            </w:pPr>
            <w:r/>
            <w:r>
              <w:rPr>
                <w:b w:val="0"/>
                <w:sz w:val="18"/>
              </w:rPr>
              <w:t>US-GIS-01</w:t>
            </w:r>
          </w:p>
        </w:tc>
        <w:tc>
          <w:tcPr>
            <w:tcW w:type="dxa" w:w="4320"/>
          </w:tcPr>
          <w:p>
            <w:pPr>
              <w:spacing w:after="0"/>
            </w:pPr>
            <w:r/>
            <w:r>
              <w:rPr>
                <w:b w:val="0"/>
                <w:sz w:val="18"/>
              </w:rPr>
              <w:t>As a citizen / SR, I want to locate the property on GIS (KSRSAC) and apply the matching CVC rate, so that the correct spatial rate is used</w:t>
            </w:r>
          </w:p>
        </w:tc>
        <w:tc>
          <w:tcPr>
            <w:tcW w:type="dxa" w:w="1584"/>
          </w:tcPr>
          <w:p>
            <w:pPr>
              <w:spacing w:after="0"/>
            </w:pPr>
            <w:r/>
            <w:r>
              <w:rPr>
                <w:b w:val="0"/>
                <w:sz w:val="18"/>
              </w:rPr>
              <w:t>GIS + CVC rates</w:t>
            </w:r>
          </w:p>
        </w:tc>
        <w:tc>
          <w:tcPr>
            <w:tcW w:type="dxa" w:w="2160"/>
          </w:tcPr>
          <w:p>
            <w:pPr>
              <w:spacing w:after="0"/>
            </w:pPr>
            <w:r/>
            <w:r>
              <w:rPr>
                <w:b w:val="0"/>
                <w:sz w:val="18"/>
              </w:rPr>
              <w:t>FR-GIS-001–006</w:t>
            </w:r>
          </w:p>
        </w:tc>
      </w:tr>
      <w:tr>
        <w:tc>
          <w:tcPr>
            <w:tcW w:type="dxa" w:w="1296"/>
          </w:tcPr>
          <w:p>
            <w:pPr>
              <w:spacing w:after="0"/>
            </w:pPr>
            <w:r/>
            <w:r>
              <w:rPr>
                <w:b w:val="0"/>
                <w:sz w:val="18"/>
              </w:rPr>
              <w:t>US-GIS-02</w:t>
            </w:r>
          </w:p>
        </w:tc>
        <w:tc>
          <w:tcPr>
            <w:tcW w:type="dxa" w:w="4320"/>
          </w:tcPr>
          <w:p>
            <w:pPr>
              <w:spacing w:after="0"/>
            </w:pPr>
            <w:r/>
            <w:r>
              <w:rPr>
                <w:b w:val="0"/>
                <w:sz w:val="18"/>
              </w:rPr>
              <w:t>As a citizen / SR, I want survey / Pot Hissa / city survey mapped to the GIS layer, so that even 1 gunta is valued with the correct rural / urban rate</w:t>
            </w:r>
          </w:p>
        </w:tc>
        <w:tc>
          <w:tcPr>
            <w:tcW w:type="dxa" w:w="1584"/>
          </w:tcPr>
          <w:p>
            <w:pPr>
              <w:spacing w:after="0"/>
            </w:pPr>
            <w:r/>
            <w:r>
              <w:rPr>
                <w:b w:val="0"/>
                <w:sz w:val="18"/>
              </w:rPr>
              <w:t>Registration Rules 13–15</w:t>
            </w:r>
          </w:p>
        </w:tc>
        <w:tc>
          <w:tcPr>
            <w:tcW w:type="dxa" w:w="2160"/>
          </w:tcPr>
          <w:p>
            <w:pPr>
              <w:spacing w:after="0"/>
            </w:pPr>
            <w:r/>
            <w:r>
              <w:rPr>
                <w:b w:val="0"/>
                <w:sz w:val="18"/>
              </w:rPr>
              <w:t>FR-GIS-003, FR-GVC-004, FR-GVC-021</w:t>
            </w:r>
          </w:p>
        </w:tc>
      </w:tr>
      <w:tr>
        <w:tc>
          <w:tcPr>
            <w:tcW w:type="dxa" w:w="1296"/>
          </w:tcPr>
          <w:p>
            <w:pPr>
              <w:spacing w:after="0"/>
            </w:pPr>
            <w:r/>
            <w:r>
              <w:rPr>
                <w:b w:val="0"/>
                <w:sz w:val="18"/>
              </w:rPr>
              <w:t>US-GIS-03</w:t>
            </w:r>
          </w:p>
        </w:tc>
        <w:tc>
          <w:tcPr>
            <w:tcW w:type="dxa" w:w="4320"/>
          </w:tcPr>
          <w:p>
            <w:pPr>
              <w:spacing w:after="0"/>
            </w:pPr>
            <w:r/>
            <w:r>
              <w:rPr>
                <w:b w:val="0"/>
                <w:sz w:val="18"/>
              </w:rPr>
              <w:t>As a valuation / GIS administrator, I want village, road and survey masters aligned between Kaveri, CVC and KSRSAC</w:t>
            </w:r>
          </w:p>
        </w:tc>
        <w:tc>
          <w:tcPr>
            <w:tcW w:type="dxa" w:w="1584"/>
          </w:tcPr>
          <w:p>
            <w:pPr>
              <w:spacing w:after="0"/>
            </w:pPr>
            <w:r/>
            <w:r>
              <w:rPr>
                <w:b w:val="0"/>
                <w:sz w:val="18"/>
              </w:rPr>
              <w:t>GIS master alignment</w:t>
            </w:r>
          </w:p>
        </w:tc>
        <w:tc>
          <w:tcPr>
            <w:tcW w:type="dxa" w:w="2160"/>
          </w:tcPr>
          <w:p>
            <w:pPr>
              <w:spacing w:after="0"/>
            </w:pPr>
            <w:r/>
            <w:r>
              <w:rPr>
                <w:b w:val="0"/>
                <w:sz w:val="18"/>
              </w:rPr>
              <w:t>FR-GIS-020–024</w:t>
            </w:r>
          </w:p>
        </w:tc>
      </w:tr>
    </w:tbl>
    <w:p/>
    <w:p>
      <w:pPr>
        <w:pStyle w:val="Heading3"/>
      </w:pPr>
      <w:r>
        <w:t>8.18 Requirements traceability matrix (RTM) — template</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296"/>
            <w:shd w:val="clear" w:color="auto" w:fill="D9E2F3"/>
          </w:tcPr>
          <w:p>
            <w:pPr>
              <w:spacing w:after="0"/>
            </w:pPr>
            <w:r/>
            <w:r>
              <w:rPr>
                <w:b/>
                <w:sz w:val="18"/>
              </w:rPr>
              <w:t>Req ID</w:t>
            </w:r>
          </w:p>
        </w:tc>
        <w:tc>
          <w:tcPr>
            <w:tcW w:type="dxa" w:w="1584"/>
            <w:shd w:val="clear" w:color="auto" w:fill="D9E2F3"/>
          </w:tcPr>
          <w:p>
            <w:pPr>
              <w:spacing w:after="0"/>
            </w:pPr>
            <w:r/>
            <w:r>
              <w:rPr>
                <w:b/>
                <w:sz w:val="18"/>
              </w:rPr>
              <w:t>Act / Rule</w:t>
            </w:r>
          </w:p>
        </w:tc>
        <w:tc>
          <w:tcPr>
            <w:tcW w:type="dxa" w:w="2304"/>
            <w:shd w:val="clear" w:color="auto" w:fill="D9E2F3"/>
          </w:tcPr>
          <w:p>
            <w:pPr>
              <w:spacing w:after="0"/>
            </w:pPr>
            <w:r/>
            <w:r>
              <w:rPr>
                <w:b/>
                <w:sz w:val="18"/>
              </w:rPr>
              <w:t>Requirement summary</w:t>
            </w:r>
          </w:p>
        </w:tc>
        <w:tc>
          <w:tcPr>
            <w:tcW w:type="dxa" w:w="864"/>
            <w:shd w:val="clear" w:color="auto" w:fill="D9E2F3"/>
          </w:tcPr>
          <w:p>
            <w:pPr>
              <w:spacing w:after="0"/>
            </w:pPr>
            <w:r/>
            <w:r>
              <w:rPr>
                <w:b/>
                <w:sz w:val="18"/>
              </w:rPr>
              <w:t>BRD section</w:t>
            </w:r>
          </w:p>
        </w:tc>
        <w:tc>
          <w:tcPr>
            <w:tcW w:type="dxa" w:w="1584"/>
            <w:shd w:val="clear" w:color="auto" w:fill="D9E2F3"/>
          </w:tcPr>
          <w:p>
            <w:pPr>
              <w:spacing w:after="0"/>
            </w:pPr>
            <w:r/>
            <w:r>
              <w:rPr>
                <w:b/>
                <w:sz w:val="18"/>
              </w:rPr>
              <w:t>UI screen</w:t>
            </w:r>
          </w:p>
        </w:tc>
        <w:tc>
          <w:tcPr>
            <w:tcW w:type="dxa" w:w="1008"/>
            <w:shd w:val="clear" w:color="auto" w:fill="D9E2F3"/>
          </w:tcPr>
          <w:p>
            <w:pPr>
              <w:spacing w:after="0"/>
            </w:pPr>
            <w:r/>
            <w:r>
              <w:rPr>
                <w:b/>
                <w:sz w:val="18"/>
              </w:rPr>
              <w:t>Test case ID</w:t>
            </w:r>
          </w:p>
        </w:tc>
        <w:tc>
          <w:tcPr>
            <w:tcW w:type="dxa" w:w="720"/>
            <w:shd w:val="clear" w:color="auto" w:fill="D9E2F3"/>
          </w:tcPr>
          <w:p>
            <w:pPr>
              <w:spacing w:after="0"/>
            </w:pPr>
            <w:r/>
            <w:r>
              <w:rPr>
                <w:b/>
                <w:sz w:val="18"/>
              </w:rPr>
              <w:t>Status</w:t>
            </w:r>
          </w:p>
        </w:tc>
      </w:tr>
      <w:tr>
        <w:tc>
          <w:tcPr>
            <w:tcW w:type="dxa" w:w="1296"/>
          </w:tcPr>
          <w:p>
            <w:pPr>
              <w:spacing w:after="0"/>
            </w:pPr>
            <w:r/>
            <w:r>
              <w:rPr>
                <w:b w:val="0"/>
                <w:sz w:val="18"/>
              </w:rPr>
              <w:t>FR-GVC-001</w:t>
            </w:r>
          </w:p>
        </w:tc>
        <w:tc>
          <w:tcPr>
            <w:tcW w:type="dxa" w:w="1584"/>
          </w:tcPr>
          <w:p>
            <w:pPr>
              <w:spacing w:after="0"/>
            </w:pPr>
            <w:r/>
            <w:r>
              <w:rPr>
                <w:b w:val="0"/>
                <w:sz w:val="18"/>
              </w:rPr>
              <w:t>Registration Rule 13</w:t>
            </w:r>
          </w:p>
        </w:tc>
        <w:tc>
          <w:tcPr>
            <w:tcW w:type="dxa" w:w="2304"/>
          </w:tcPr>
          <w:p>
            <w:pPr>
              <w:spacing w:after="0"/>
            </w:pPr>
            <w:r/>
            <w:r>
              <w:rPr>
                <w:b w:val="0"/>
                <w:sz w:val="18"/>
              </w:rPr>
              <w:t>Cascading territorial selection</w:t>
            </w:r>
          </w:p>
        </w:tc>
        <w:tc>
          <w:tcPr>
            <w:tcW w:type="dxa" w:w="864"/>
          </w:tcPr>
          <w:p>
            <w:pPr>
              <w:spacing w:after="0"/>
            </w:pPr>
            <w:r/>
            <w:r>
              <w:rPr>
                <w:b w:val="0"/>
                <w:sz w:val="18"/>
              </w:rPr>
              <w:t>8.1</w:t>
            </w:r>
          </w:p>
        </w:tc>
        <w:tc>
          <w:tcPr>
            <w:tcW w:type="dxa" w:w="1584"/>
          </w:tcPr>
          <w:p>
            <w:pPr>
              <w:spacing w:after="0"/>
            </w:pPr>
            <w:r/>
            <w:r>
              <w:rPr>
                <w:b w:val="0"/>
                <w:sz w:val="18"/>
              </w:rPr>
              <w:t>Property location</w:t>
            </w:r>
          </w:p>
        </w:tc>
        <w:tc>
          <w:tcPr>
            <w:tcW w:type="dxa" w:w="1008"/>
          </w:tcPr>
          <w:p>
            <w:pPr>
              <w:spacing w:after="0"/>
            </w:pPr>
            <w:r/>
            <w:r>
              <w:rPr>
                <w:b w:val="0"/>
                <w:sz w:val="18"/>
              </w:rPr>
              <w:t>TC-GVC-___</w:t>
            </w:r>
          </w:p>
        </w:tc>
        <w:tc>
          <w:tcPr>
            <w:tcW w:type="dxa" w:w="720"/>
          </w:tcPr>
          <w:p>
            <w:pPr>
              <w:spacing w:after="0"/>
            </w:pPr>
            <w:r/>
            <w:r>
              <w:rPr>
                <w:b w:val="0"/>
                <w:sz w:val="18"/>
              </w:rPr>
              <w:t>Draft</w:t>
            </w:r>
          </w:p>
        </w:tc>
      </w:tr>
      <w:tr>
        <w:tc>
          <w:tcPr>
            <w:tcW w:type="dxa" w:w="1296"/>
          </w:tcPr>
          <w:p>
            <w:pPr>
              <w:spacing w:after="0"/>
            </w:pPr>
            <w:r/>
            <w:r>
              <w:rPr>
                <w:b w:val="0"/>
                <w:sz w:val="18"/>
              </w:rPr>
              <w:t>FR-GIS-002</w:t>
            </w:r>
          </w:p>
        </w:tc>
        <w:tc>
          <w:tcPr>
            <w:tcW w:type="dxa" w:w="1584"/>
          </w:tcPr>
          <w:p>
            <w:pPr>
              <w:spacing w:after="0"/>
            </w:pPr>
            <w:r/>
            <w:r>
              <w:rPr>
                <w:b w:val="0"/>
                <w:sz w:val="18"/>
              </w:rPr>
              <w:t>Registration Rules 13–15</w:t>
            </w:r>
          </w:p>
        </w:tc>
        <w:tc>
          <w:tcPr>
            <w:tcW w:type="dxa" w:w="2304"/>
          </w:tcPr>
          <w:p>
            <w:pPr>
              <w:spacing w:after="0"/>
            </w:pPr>
            <w:r/>
            <w:r>
              <w:rPr>
                <w:b w:val="0"/>
                <w:sz w:val="18"/>
              </w:rPr>
              <w:t>Parcel inside village; manual area with reason</w:t>
            </w:r>
          </w:p>
        </w:tc>
        <w:tc>
          <w:tcPr>
            <w:tcW w:type="dxa" w:w="864"/>
          </w:tcPr>
          <w:p>
            <w:pPr>
              <w:spacing w:after="0"/>
            </w:pPr>
            <w:r/>
            <w:r>
              <w:rPr>
                <w:b w:val="0"/>
                <w:sz w:val="18"/>
              </w:rPr>
              <w:t>8.2</w:t>
            </w:r>
          </w:p>
        </w:tc>
        <w:tc>
          <w:tcPr>
            <w:tcW w:type="dxa" w:w="1584"/>
          </w:tcPr>
          <w:p>
            <w:pPr>
              <w:spacing w:after="0"/>
            </w:pPr>
            <w:r/>
            <w:r>
              <w:rPr>
                <w:b w:val="0"/>
                <w:sz w:val="18"/>
              </w:rPr>
              <w:t>GIS result and map</w:t>
            </w:r>
          </w:p>
        </w:tc>
        <w:tc>
          <w:tcPr>
            <w:tcW w:type="dxa" w:w="1008"/>
          </w:tcPr>
          <w:p>
            <w:pPr>
              <w:spacing w:after="0"/>
            </w:pPr>
            <w:r/>
            <w:r>
              <w:rPr>
                <w:b w:val="0"/>
                <w:sz w:val="18"/>
              </w:rPr>
              <w:t>TC-GIS-___</w:t>
            </w:r>
          </w:p>
        </w:tc>
        <w:tc>
          <w:tcPr>
            <w:tcW w:type="dxa" w:w="720"/>
          </w:tcPr>
          <w:p>
            <w:pPr>
              <w:spacing w:after="0"/>
            </w:pPr>
            <w:r/>
            <w:r>
              <w:rPr>
                <w:b w:val="0"/>
                <w:sz w:val="18"/>
              </w:rPr>
              <w:t>Draft</w:t>
            </w:r>
          </w:p>
        </w:tc>
      </w:tr>
      <w:tr>
        <w:tc>
          <w:tcPr>
            <w:tcW w:type="dxa" w:w="1296"/>
          </w:tcPr>
          <w:p>
            <w:pPr>
              <w:spacing w:after="0"/>
            </w:pPr>
            <w:r/>
            <w:r>
              <w:rPr>
                <w:b w:val="0"/>
                <w:sz w:val="18"/>
              </w:rPr>
              <w:t>FR-GIS-003</w:t>
            </w:r>
          </w:p>
        </w:tc>
        <w:tc>
          <w:tcPr>
            <w:tcW w:type="dxa" w:w="1584"/>
          </w:tcPr>
          <w:p>
            <w:pPr>
              <w:spacing w:after="0"/>
            </w:pPr>
            <w:r/>
            <w:r>
              <w:rPr>
                <w:b w:val="0"/>
                <w:sz w:val="18"/>
              </w:rPr>
              <w:t>CVC methodology</w:t>
            </w:r>
          </w:p>
        </w:tc>
        <w:tc>
          <w:tcPr>
            <w:tcW w:type="dxa" w:w="2304"/>
          </w:tcPr>
          <w:p>
            <w:pPr>
              <w:spacing w:after="0"/>
            </w:pPr>
            <w:r/>
            <w:r>
              <w:rPr>
                <w:b w:val="0"/>
                <w:sz w:val="18"/>
              </w:rPr>
              <w:t>Spatial match to area / road / zone</w:t>
            </w:r>
          </w:p>
        </w:tc>
        <w:tc>
          <w:tcPr>
            <w:tcW w:type="dxa" w:w="864"/>
          </w:tcPr>
          <w:p>
            <w:pPr>
              <w:spacing w:after="0"/>
            </w:pPr>
            <w:r/>
            <w:r>
              <w:rPr>
                <w:b w:val="0"/>
                <w:sz w:val="18"/>
              </w:rPr>
              <w:t>8.2</w:t>
            </w:r>
          </w:p>
        </w:tc>
        <w:tc>
          <w:tcPr>
            <w:tcW w:type="dxa" w:w="1584"/>
          </w:tcPr>
          <w:p>
            <w:pPr>
              <w:spacing w:after="0"/>
            </w:pPr>
            <w:r/>
            <w:r>
              <w:rPr>
                <w:b w:val="0"/>
                <w:sz w:val="18"/>
              </w:rPr>
              <w:t>GIS result and map</w:t>
            </w:r>
          </w:p>
        </w:tc>
        <w:tc>
          <w:tcPr>
            <w:tcW w:type="dxa" w:w="1008"/>
          </w:tcPr>
          <w:p>
            <w:pPr>
              <w:spacing w:after="0"/>
            </w:pPr>
            <w:r/>
            <w:r>
              <w:rPr>
                <w:b w:val="0"/>
                <w:sz w:val="18"/>
              </w:rPr>
              <w:t>TC-GIS-___</w:t>
            </w:r>
          </w:p>
        </w:tc>
        <w:tc>
          <w:tcPr>
            <w:tcW w:type="dxa" w:w="720"/>
          </w:tcPr>
          <w:p>
            <w:pPr>
              <w:spacing w:after="0"/>
            </w:pPr>
            <w:r/>
            <w:r>
              <w:rPr>
                <w:b w:val="0"/>
                <w:sz w:val="18"/>
              </w:rPr>
              <w:t>Draft</w:t>
            </w:r>
          </w:p>
        </w:tc>
      </w:tr>
      <w:tr>
        <w:tc>
          <w:tcPr>
            <w:tcW w:type="dxa" w:w="1296"/>
          </w:tcPr>
          <w:p>
            <w:pPr>
              <w:spacing w:after="0"/>
            </w:pPr>
            <w:r/>
            <w:r>
              <w:rPr>
                <w:b w:val="0"/>
                <w:sz w:val="18"/>
              </w:rPr>
              <w:t>FR-GVC-011</w:t>
            </w:r>
          </w:p>
        </w:tc>
        <w:tc>
          <w:tcPr>
            <w:tcW w:type="dxa" w:w="1584"/>
          </w:tcPr>
          <w:p>
            <w:pPr>
              <w:spacing w:after="0"/>
            </w:pPr>
            <w:r/>
            <w:r>
              <w:rPr>
                <w:b w:val="0"/>
                <w:sz w:val="18"/>
              </w:rPr>
              <w:t>Sec. 2(mm)</w:t>
            </w:r>
          </w:p>
        </w:tc>
        <w:tc>
          <w:tcPr>
            <w:tcW w:type="dxa" w:w="2304"/>
          </w:tcPr>
          <w:p>
            <w:pPr>
              <w:spacing w:after="0"/>
            </w:pPr>
            <w:r/>
            <w:r>
              <w:rPr>
                <w:b w:val="0"/>
                <w:sz w:val="18"/>
              </w:rPr>
              <w:t>Rate version by execution date</w:t>
            </w:r>
          </w:p>
        </w:tc>
        <w:tc>
          <w:tcPr>
            <w:tcW w:type="dxa" w:w="864"/>
          </w:tcPr>
          <w:p>
            <w:pPr>
              <w:spacing w:after="0"/>
            </w:pPr>
            <w:r/>
            <w:r>
              <w:rPr>
                <w:b w:val="0"/>
                <w:sz w:val="18"/>
              </w:rPr>
              <w:t>8.3</w:t>
            </w:r>
          </w:p>
        </w:tc>
        <w:tc>
          <w:tcPr>
            <w:tcW w:type="dxa" w:w="1584"/>
          </w:tcPr>
          <w:p>
            <w:pPr>
              <w:spacing w:after="0"/>
            </w:pPr>
            <w:r/>
            <w:r>
              <w:rPr>
                <w:b w:val="0"/>
                <w:sz w:val="18"/>
              </w:rPr>
              <w:t>Valuation summary</w:t>
            </w:r>
          </w:p>
        </w:tc>
        <w:tc>
          <w:tcPr>
            <w:tcW w:type="dxa" w:w="1008"/>
          </w:tcPr>
          <w:p>
            <w:pPr>
              <w:spacing w:after="0"/>
            </w:pPr>
            <w:r/>
            <w:r>
              <w:rPr>
                <w:b w:val="0"/>
                <w:sz w:val="18"/>
              </w:rPr>
              <w:t>TC-GVC-___</w:t>
            </w:r>
          </w:p>
        </w:tc>
        <w:tc>
          <w:tcPr>
            <w:tcW w:type="dxa" w:w="720"/>
          </w:tcPr>
          <w:p>
            <w:pPr>
              <w:spacing w:after="0"/>
            </w:pPr>
            <w:r/>
            <w:r>
              <w:rPr>
                <w:b w:val="0"/>
                <w:sz w:val="18"/>
              </w:rPr>
              <w:t>Draft</w:t>
            </w:r>
          </w:p>
        </w:tc>
      </w:tr>
      <w:tr>
        <w:tc>
          <w:tcPr>
            <w:tcW w:type="dxa" w:w="1296"/>
          </w:tcPr>
          <w:p>
            <w:pPr>
              <w:spacing w:after="0"/>
            </w:pPr>
            <w:r/>
            <w:r>
              <w:rPr>
                <w:b w:val="0"/>
                <w:sz w:val="18"/>
              </w:rPr>
              <w:t>FR-GVC-031</w:t>
            </w:r>
          </w:p>
        </w:tc>
        <w:tc>
          <w:tcPr>
            <w:tcW w:type="dxa" w:w="1584"/>
          </w:tcPr>
          <w:p>
            <w:pPr>
              <w:spacing w:after="0"/>
            </w:pPr>
            <w:r/>
            <w:r>
              <w:rPr>
                <w:b w:val="0"/>
                <w:sz w:val="18"/>
              </w:rPr>
              <w:t>Sec. 2(mm)</w:t>
            </w:r>
          </w:p>
        </w:tc>
        <w:tc>
          <w:tcPr>
            <w:tcW w:type="dxa" w:w="2304"/>
          </w:tcPr>
          <w:p>
            <w:pPr>
              <w:spacing w:after="0"/>
            </w:pPr>
            <w:r/>
            <w:r>
              <w:rPr>
                <w:b w:val="0"/>
                <w:sz w:val="18"/>
              </w:rPr>
              <w:t>Higher of guideline value and consideration</w:t>
            </w:r>
          </w:p>
        </w:tc>
        <w:tc>
          <w:tcPr>
            <w:tcW w:type="dxa" w:w="864"/>
          </w:tcPr>
          <w:p>
            <w:pPr>
              <w:spacing w:after="0"/>
            </w:pPr>
            <w:r/>
            <w:r>
              <w:rPr>
                <w:b w:val="0"/>
                <w:sz w:val="18"/>
              </w:rPr>
              <w:t>8.5</w:t>
            </w:r>
          </w:p>
        </w:tc>
        <w:tc>
          <w:tcPr>
            <w:tcW w:type="dxa" w:w="1584"/>
          </w:tcPr>
          <w:p>
            <w:pPr>
              <w:spacing w:after="0"/>
            </w:pPr>
            <w:r/>
            <w:r>
              <w:rPr>
                <w:b w:val="0"/>
                <w:sz w:val="18"/>
              </w:rPr>
              <w:t>Valuation summary</w:t>
            </w:r>
          </w:p>
        </w:tc>
        <w:tc>
          <w:tcPr>
            <w:tcW w:type="dxa" w:w="1008"/>
          </w:tcPr>
          <w:p>
            <w:pPr>
              <w:spacing w:after="0"/>
            </w:pPr>
            <w:r/>
            <w:r>
              <w:rPr>
                <w:b w:val="0"/>
                <w:sz w:val="18"/>
              </w:rPr>
              <w:t>TC-GVC-___</w:t>
            </w:r>
          </w:p>
        </w:tc>
        <w:tc>
          <w:tcPr>
            <w:tcW w:type="dxa" w:w="720"/>
          </w:tcPr>
          <w:p>
            <w:pPr>
              <w:spacing w:after="0"/>
            </w:pPr>
            <w:r/>
            <w:r>
              <w:rPr>
                <w:b w:val="0"/>
                <w:sz w:val="18"/>
              </w:rPr>
              <w:t>Draft</w:t>
            </w:r>
          </w:p>
        </w:tc>
      </w:tr>
      <w:tr>
        <w:tc>
          <w:tcPr>
            <w:tcW w:type="dxa" w:w="1296"/>
          </w:tcPr>
          <w:p>
            <w:pPr>
              <w:spacing w:after="0"/>
            </w:pPr>
            <w:r/>
            <w:r>
              <w:rPr>
                <w:b w:val="0"/>
                <w:sz w:val="18"/>
              </w:rPr>
              <w:t>FR-GVC-033</w:t>
            </w:r>
          </w:p>
        </w:tc>
        <w:tc>
          <w:tcPr>
            <w:tcW w:type="dxa" w:w="1584"/>
          </w:tcPr>
          <w:p>
            <w:pPr>
              <w:spacing w:after="0"/>
            </w:pPr>
            <w:r/>
            <w:r>
              <w:rPr>
                <w:b w:val="0"/>
                <w:sz w:val="18"/>
              </w:rPr>
              <w:t>Sec. 3 + Schedule</w:t>
            </w:r>
          </w:p>
        </w:tc>
        <w:tc>
          <w:tcPr>
            <w:tcW w:type="dxa" w:w="2304"/>
          </w:tcPr>
          <w:p>
            <w:pPr>
              <w:spacing w:after="0"/>
            </w:pPr>
            <w:r/>
            <w:r>
              <w:rPr>
                <w:b w:val="0"/>
                <w:sz w:val="18"/>
              </w:rPr>
              <w:t>Duty / fee hand-off; Save gate</w:t>
            </w:r>
          </w:p>
        </w:tc>
        <w:tc>
          <w:tcPr>
            <w:tcW w:type="dxa" w:w="864"/>
          </w:tcPr>
          <w:p>
            <w:pPr>
              <w:spacing w:after="0"/>
            </w:pPr>
            <w:r/>
            <w:r>
              <w:rPr>
                <w:b w:val="0"/>
                <w:sz w:val="18"/>
              </w:rPr>
              <w:t>8.5</w:t>
            </w:r>
          </w:p>
        </w:tc>
        <w:tc>
          <w:tcPr>
            <w:tcW w:type="dxa" w:w="1584"/>
          </w:tcPr>
          <w:p>
            <w:pPr>
              <w:spacing w:after="0"/>
            </w:pPr>
            <w:r/>
            <w:r>
              <w:rPr>
                <w:b w:val="0"/>
                <w:sz w:val="18"/>
              </w:rPr>
              <w:t>Valuation summary</w:t>
            </w:r>
          </w:p>
        </w:tc>
        <w:tc>
          <w:tcPr>
            <w:tcW w:type="dxa" w:w="1008"/>
          </w:tcPr>
          <w:p>
            <w:pPr>
              <w:spacing w:after="0"/>
            </w:pPr>
            <w:r/>
            <w:r>
              <w:rPr>
                <w:b w:val="0"/>
                <w:sz w:val="18"/>
              </w:rPr>
              <w:t>TC-GVC-___</w:t>
            </w:r>
          </w:p>
        </w:tc>
        <w:tc>
          <w:tcPr>
            <w:tcW w:type="dxa" w:w="720"/>
          </w:tcPr>
          <w:p>
            <w:pPr>
              <w:spacing w:after="0"/>
            </w:pPr>
            <w:r/>
            <w:r>
              <w:rPr>
                <w:b w:val="0"/>
                <w:sz w:val="18"/>
              </w:rPr>
              <w:t>Draft</w:t>
            </w:r>
          </w:p>
        </w:tc>
      </w:tr>
      <w:tr>
        <w:tc>
          <w:tcPr>
            <w:tcW w:type="dxa" w:w="1296"/>
          </w:tcPr>
          <w:p>
            <w:pPr>
              <w:spacing w:after="0"/>
            </w:pPr>
            <w:r/>
            <w:r>
              <w:rPr>
                <w:b w:val="0"/>
                <w:sz w:val="18"/>
              </w:rPr>
              <w:t>FR-GVC-035</w:t>
            </w:r>
          </w:p>
        </w:tc>
        <w:tc>
          <w:tcPr>
            <w:tcW w:type="dxa" w:w="1584"/>
          </w:tcPr>
          <w:p>
            <w:pPr>
              <w:spacing w:after="0"/>
            </w:pPr>
            <w:r/>
            <w:r>
              <w:rPr>
                <w:b w:val="0"/>
                <w:sz w:val="18"/>
              </w:rPr>
              <w:t>Sec. 45-A</w:t>
            </w:r>
          </w:p>
        </w:tc>
        <w:tc>
          <w:tcPr>
            <w:tcW w:type="dxa" w:w="2304"/>
          </w:tcPr>
          <w:p>
            <w:pPr>
              <w:spacing w:after="0"/>
            </w:pPr>
            <w:r/>
            <w:r>
              <w:rPr>
                <w:b w:val="0"/>
                <w:sz w:val="18"/>
              </w:rPr>
              <w:t>Adjudicated value overrides</w:t>
            </w:r>
          </w:p>
        </w:tc>
        <w:tc>
          <w:tcPr>
            <w:tcW w:type="dxa" w:w="864"/>
          </w:tcPr>
          <w:p>
            <w:pPr>
              <w:spacing w:after="0"/>
            </w:pPr>
            <w:r/>
            <w:r>
              <w:rPr>
                <w:b w:val="0"/>
                <w:sz w:val="18"/>
              </w:rPr>
              <w:t>8.5</w:t>
            </w:r>
          </w:p>
        </w:tc>
        <w:tc>
          <w:tcPr>
            <w:tcW w:type="dxa" w:w="1584"/>
          </w:tcPr>
          <w:p>
            <w:pPr>
              <w:spacing w:after="0"/>
            </w:pPr>
            <w:r/>
            <w:r>
              <w:rPr>
                <w:b w:val="0"/>
                <w:sz w:val="18"/>
              </w:rPr>
              <w:t>Valuation summary</w:t>
            </w:r>
          </w:p>
        </w:tc>
        <w:tc>
          <w:tcPr>
            <w:tcW w:type="dxa" w:w="1008"/>
          </w:tcPr>
          <w:p>
            <w:pPr>
              <w:spacing w:after="0"/>
            </w:pPr>
            <w:r/>
            <w:r>
              <w:rPr>
                <w:b w:val="0"/>
                <w:sz w:val="18"/>
              </w:rPr>
              <w:t>TC-GVC-___</w:t>
            </w:r>
          </w:p>
        </w:tc>
        <w:tc>
          <w:tcPr>
            <w:tcW w:type="dxa" w:w="720"/>
          </w:tcPr>
          <w:p>
            <w:pPr>
              <w:spacing w:after="0"/>
            </w:pPr>
            <w:r/>
            <w:r>
              <w:rPr>
                <w:b w:val="0"/>
                <w:sz w:val="18"/>
              </w:rPr>
              <w:t>Draft</w:t>
            </w:r>
          </w:p>
        </w:tc>
      </w:tr>
      <w:tr>
        <w:tc>
          <w:tcPr>
            <w:tcW w:type="dxa" w:w="1296"/>
          </w:tcPr>
          <w:p>
            <w:pPr>
              <w:spacing w:after="0"/>
            </w:pPr>
            <w:r/>
            <w:r>
              <w:rPr>
                <w:b w:val="0"/>
                <w:sz w:val="18"/>
              </w:rPr>
              <w:t>FR-UV-005</w:t>
            </w:r>
          </w:p>
        </w:tc>
        <w:tc>
          <w:tcPr>
            <w:tcW w:type="dxa" w:w="1584"/>
          </w:tcPr>
          <w:p>
            <w:pPr>
              <w:spacing w:after="0"/>
            </w:pPr>
            <w:r/>
            <w:r>
              <w:rPr>
                <w:b w:val="0"/>
                <w:sz w:val="18"/>
              </w:rPr>
              <w:t>Sec. 45-A(1); Rules 1977</w:t>
            </w:r>
          </w:p>
        </w:tc>
        <w:tc>
          <w:tcPr>
            <w:tcW w:type="dxa" w:w="2304"/>
          </w:tcPr>
          <w:p>
            <w:pPr>
              <w:spacing w:after="0"/>
            </w:pPr>
            <w:r/>
            <w:r>
              <w:rPr>
                <w:b w:val="0"/>
                <w:sz w:val="18"/>
              </w:rPr>
              <w:t>Form I and reference to DC</w:t>
            </w:r>
          </w:p>
        </w:tc>
        <w:tc>
          <w:tcPr>
            <w:tcW w:type="dxa" w:w="864"/>
          </w:tcPr>
          <w:p>
            <w:pPr>
              <w:spacing w:after="0"/>
            </w:pPr>
            <w:r/>
            <w:r>
              <w:rPr>
                <w:b w:val="0"/>
                <w:sz w:val="18"/>
              </w:rPr>
              <w:t>8.7</w:t>
            </w:r>
          </w:p>
        </w:tc>
        <w:tc>
          <w:tcPr>
            <w:tcW w:type="dxa" w:w="1584"/>
          </w:tcPr>
          <w:p>
            <w:pPr>
              <w:spacing w:after="0"/>
            </w:pPr>
            <w:r/>
            <w:r>
              <w:rPr>
                <w:b w:val="0"/>
                <w:sz w:val="18"/>
              </w:rPr>
              <w:t>Sec. 45-A estimate and reference</w:t>
            </w:r>
          </w:p>
        </w:tc>
        <w:tc>
          <w:tcPr>
            <w:tcW w:type="dxa" w:w="1008"/>
          </w:tcPr>
          <w:p>
            <w:pPr>
              <w:spacing w:after="0"/>
            </w:pPr>
            <w:r/>
            <w:r>
              <w:rPr>
                <w:b w:val="0"/>
                <w:sz w:val="18"/>
              </w:rPr>
              <w:t>TC-UV-___</w:t>
            </w:r>
          </w:p>
        </w:tc>
        <w:tc>
          <w:tcPr>
            <w:tcW w:type="dxa" w:w="720"/>
          </w:tcPr>
          <w:p>
            <w:pPr>
              <w:spacing w:after="0"/>
            </w:pPr>
            <w:r/>
            <w:r>
              <w:rPr>
                <w:b w:val="0"/>
                <w:sz w:val="18"/>
              </w:rPr>
              <w:t>Draft</w:t>
            </w:r>
          </w:p>
        </w:tc>
      </w:tr>
      <w:tr>
        <w:tc>
          <w:tcPr>
            <w:tcW w:type="dxa" w:w="1296"/>
          </w:tcPr>
          <w:p>
            <w:pPr>
              <w:spacing w:after="0"/>
            </w:pPr>
            <w:r/>
            <w:r>
              <w:rPr>
                <w:b w:val="0"/>
                <w:sz w:val="18"/>
              </w:rPr>
              <w:t>FR-UV-013</w:t>
            </w:r>
          </w:p>
        </w:tc>
        <w:tc>
          <w:tcPr>
            <w:tcW w:type="dxa" w:w="1584"/>
          </w:tcPr>
          <w:p>
            <w:pPr>
              <w:spacing w:after="0"/>
            </w:pPr>
            <w:r/>
            <w:r>
              <w:rPr>
                <w:b w:val="0"/>
                <w:sz w:val="18"/>
              </w:rPr>
              <w:t>Sec. 45-A(3)</w:t>
            </w:r>
          </w:p>
        </w:tc>
        <w:tc>
          <w:tcPr>
            <w:tcW w:type="dxa" w:w="2304"/>
          </w:tcPr>
          <w:p>
            <w:pPr>
              <w:spacing w:after="0"/>
            </w:pPr>
            <w:r/>
            <w:r>
              <w:rPr>
                <w:b w:val="0"/>
                <w:sz w:val="18"/>
              </w:rPr>
              <w:t>Suo motu within two years</w:t>
            </w:r>
          </w:p>
        </w:tc>
        <w:tc>
          <w:tcPr>
            <w:tcW w:type="dxa" w:w="864"/>
          </w:tcPr>
          <w:p>
            <w:pPr>
              <w:spacing w:after="0"/>
            </w:pPr>
            <w:r/>
            <w:r>
              <w:rPr>
                <w:b w:val="0"/>
                <w:sz w:val="18"/>
              </w:rPr>
              <w:t>8.8</w:t>
            </w:r>
          </w:p>
        </w:tc>
        <w:tc>
          <w:tcPr>
            <w:tcW w:type="dxa" w:w="1584"/>
          </w:tcPr>
          <w:p>
            <w:pPr>
              <w:spacing w:after="0"/>
            </w:pPr>
            <w:r/>
            <w:r>
              <w:rPr>
                <w:b w:val="0"/>
                <w:sz w:val="18"/>
              </w:rPr>
              <w:t>DC case workbench</w:t>
            </w:r>
          </w:p>
        </w:tc>
        <w:tc>
          <w:tcPr>
            <w:tcW w:type="dxa" w:w="1008"/>
          </w:tcPr>
          <w:p>
            <w:pPr>
              <w:spacing w:after="0"/>
            </w:pPr>
            <w:r/>
            <w:r>
              <w:rPr>
                <w:b w:val="0"/>
                <w:sz w:val="18"/>
              </w:rPr>
              <w:t>TC-UV-___</w:t>
            </w:r>
          </w:p>
        </w:tc>
        <w:tc>
          <w:tcPr>
            <w:tcW w:type="dxa" w:w="720"/>
          </w:tcPr>
          <w:p>
            <w:pPr>
              <w:spacing w:after="0"/>
            </w:pPr>
            <w:r/>
            <w:r>
              <w:rPr>
                <w:b w:val="0"/>
                <w:sz w:val="18"/>
              </w:rPr>
              <w:t>Draft</w:t>
            </w:r>
          </w:p>
        </w:tc>
      </w:tr>
      <w:tr>
        <w:tc>
          <w:tcPr>
            <w:tcW w:type="dxa" w:w="1296"/>
          </w:tcPr>
          <w:p>
            <w:pPr>
              <w:spacing w:after="0"/>
            </w:pPr>
            <w:r/>
            <w:r>
              <w:rPr>
                <w:b w:val="0"/>
                <w:sz w:val="18"/>
              </w:rPr>
              <w:t>FR-UV-020</w:t>
            </w:r>
          </w:p>
        </w:tc>
        <w:tc>
          <w:tcPr>
            <w:tcW w:type="dxa" w:w="1584"/>
          </w:tcPr>
          <w:p>
            <w:pPr>
              <w:spacing w:after="0"/>
            </w:pPr>
            <w:r/>
            <w:r>
              <w:rPr>
                <w:b w:val="0"/>
                <w:sz w:val="18"/>
              </w:rPr>
              <w:t>Sec. 45-A(5)</w:t>
            </w:r>
          </w:p>
        </w:tc>
        <w:tc>
          <w:tcPr>
            <w:tcW w:type="dxa" w:w="2304"/>
          </w:tcPr>
          <w:p>
            <w:pPr>
              <w:spacing w:after="0"/>
            </w:pPr>
            <w:r/>
            <w:r>
              <w:rPr>
                <w:b w:val="0"/>
                <w:sz w:val="18"/>
              </w:rPr>
              <w:t>Appeal on 50% deposit</w:t>
            </w:r>
          </w:p>
        </w:tc>
        <w:tc>
          <w:tcPr>
            <w:tcW w:type="dxa" w:w="864"/>
          </w:tcPr>
          <w:p>
            <w:pPr>
              <w:spacing w:after="0"/>
            </w:pPr>
            <w:r/>
            <w:r>
              <w:rPr>
                <w:b w:val="0"/>
                <w:sz w:val="18"/>
              </w:rPr>
              <w:t>8.9</w:t>
            </w:r>
          </w:p>
        </w:tc>
        <w:tc>
          <w:tcPr>
            <w:tcW w:type="dxa" w:w="1584"/>
          </w:tcPr>
          <w:p>
            <w:pPr>
              <w:spacing w:after="0"/>
            </w:pPr>
            <w:r/>
            <w:r>
              <w:rPr>
                <w:b w:val="0"/>
                <w:sz w:val="18"/>
              </w:rPr>
              <w:t>Appeal</w:t>
            </w:r>
          </w:p>
        </w:tc>
        <w:tc>
          <w:tcPr>
            <w:tcW w:type="dxa" w:w="1008"/>
          </w:tcPr>
          <w:p>
            <w:pPr>
              <w:spacing w:after="0"/>
            </w:pPr>
            <w:r/>
            <w:r>
              <w:rPr>
                <w:b w:val="0"/>
                <w:sz w:val="18"/>
              </w:rPr>
              <w:t>TC-UV-___</w:t>
            </w:r>
          </w:p>
        </w:tc>
        <w:tc>
          <w:tcPr>
            <w:tcW w:type="dxa" w:w="720"/>
          </w:tcPr>
          <w:p>
            <w:pPr>
              <w:spacing w:after="0"/>
            </w:pPr>
            <w:r/>
            <w:r>
              <w:rPr>
                <w:b w:val="0"/>
                <w:sz w:val="18"/>
              </w:rPr>
              <w:t>Draft</w:t>
            </w:r>
          </w:p>
        </w:tc>
      </w:tr>
      <w:tr>
        <w:tc>
          <w:tcPr>
            <w:tcW w:type="dxa" w:w="1296"/>
          </w:tcPr>
          <w:p>
            <w:pPr>
              <w:spacing w:after="0"/>
            </w:pPr>
            <w:r/>
            <w:r>
              <w:rPr>
                <w:b w:val="0"/>
                <w:sz w:val="18"/>
              </w:rPr>
              <w:t>FR-UV-022</w:t>
            </w:r>
          </w:p>
        </w:tc>
        <w:tc>
          <w:tcPr>
            <w:tcW w:type="dxa" w:w="1584"/>
          </w:tcPr>
          <w:p>
            <w:pPr>
              <w:spacing w:after="0"/>
            </w:pPr>
            <w:r/>
            <w:r>
              <w:rPr>
                <w:b w:val="0"/>
                <w:sz w:val="18"/>
              </w:rPr>
              <w:t>Sec. 45-A(2), (5)</w:t>
            </w:r>
          </w:p>
        </w:tc>
        <w:tc>
          <w:tcPr>
            <w:tcW w:type="dxa" w:w="2304"/>
          </w:tcPr>
          <w:p>
            <w:pPr>
              <w:spacing w:after="0"/>
            </w:pPr>
            <w:r/>
            <w:r>
              <w:rPr>
                <w:b w:val="0"/>
                <w:sz w:val="18"/>
              </w:rPr>
              <w:t>Duty difference and interest</w:t>
            </w:r>
          </w:p>
        </w:tc>
        <w:tc>
          <w:tcPr>
            <w:tcW w:type="dxa" w:w="864"/>
          </w:tcPr>
          <w:p>
            <w:pPr>
              <w:spacing w:after="0"/>
            </w:pPr>
            <w:r/>
            <w:r>
              <w:rPr>
                <w:b w:val="0"/>
                <w:sz w:val="18"/>
              </w:rPr>
              <w:t>8.9</w:t>
            </w:r>
          </w:p>
        </w:tc>
        <w:tc>
          <w:tcPr>
            <w:tcW w:type="dxa" w:w="1584"/>
          </w:tcPr>
          <w:p>
            <w:pPr>
              <w:spacing w:after="0"/>
            </w:pPr>
            <w:r/>
            <w:r>
              <w:rPr>
                <w:b w:val="0"/>
                <w:sz w:val="18"/>
              </w:rPr>
              <w:t>Duty difference payment</w:t>
            </w:r>
          </w:p>
        </w:tc>
        <w:tc>
          <w:tcPr>
            <w:tcW w:type="dxa" w:w="1008"/>
          </w:tcPr>
          <w:p>
            <w:pPr>
              <w:spacing w:after="0"/>
            </w:pPr>
            <w:r/>
            <w:r>
              <w:rPr>
                <w:b w:val="0"/>
                <w:sz w:val="18"/>
              </w:rPr>
              <w:t>TC-UV-___</w:t>
            </w:r>
          </w:p>
        </w:tc>
        <w:tc>
          <w:tcPr>
            <w:tcW w:type="dxa" w:w="720"/>
          </w:tcPr>
          <w:p>
            <w:pPr>
              <w:spacing w:after="0"/>
            </w:pPr>
            <w:r/>
            <w:r>
              <w:rPr>
                <w:b w:val="0"/>
                <w:sz w:val="18"/>
              </w:rPr>
              <w:t>Draft</w:t>
            </w:r>
          </w:p>
        </w:tc>
      </w:tr>
    </w:tbl>
    <w:p/>
    <w:p>
      <w:pPr>
        <w:pStyle w:val="Heading2"/>
      </w:pPr>
      <w:r>
        <w:t>9. Non-functional requirements</w:t>
      </w:r>
    </w:p>
    <w:p>
      <w:pPr/>
      <w:r>
        <w:t>The following non-functional parameters apply to guideline value calculation, GIS valuation and the Sec. 45-A workflow on all channels. Owners to validate: Solution Architect, DevOps / SDC, Security, DBA, Ops and Product Owner.</w:t>
      </w:r>
    </w:p>
    <w:p>
      <w:pPr>
        <w:pStyle w:val="Heading3"/>
      </w:pPr>
      <w:r>
        <w:t>9.1 Performance and scalability</w:t>
      </w:r>
    </w:p>
    <w:tbl>
      <w:tblPr>
        <w:tblStyle w:val="TableGrid"/>
        <w:tblW w:type="auto" w:w="0"/>
        <w:tblLook w:firstColumn="1" w:firstRow="1" w:lastColumn="0" w:lastRow="0" w:noHBand="0" w:noVBand="1" w:val="04A0"/>
      </w:tblPr>
      <w:tblGrid>
        <w:gridCol w:w="2556"/>
        <w:gridCol w:w="2556"/>
        <w:gridCol w:w="2556"/>
        <w:gridCol w:w="2556"/>
      </w:tblGrid>
      <w:tr>
        <w:tc>
          <w:tcPr>
            <w:tcW w:type="dxa" w:w="1728"/>
            <w:shd w:val="clear" w:color="auto" w:fill="D9E2F3"/>
          </w:tcPr>
          <w:p>
            <w:pPr>
              <w:spacing w:after="0"/>
            </w:pPr>
            <w:r/>
            <w:r>
              <w:rPr>
                <w:b/>
                <w:sz w:val="18"/>
              </w:rPr>
              <w:t>Req ID</w:t>
            </w:r>
          </w:p>
        </w:tc>
        <w:tc>
          <w:tcPr>
            <w:tcW w:type="dxa" w:w="4896"/>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728"/>
          </w:tcPr>
          <w:p>
            <w:pPr>
              <w:spacing w:after="0"/>
            </w:pPr>
            <w:r/>
            <w:r>
              <w:rPr>
                <w:b w:val="0"/>
                <w:sz w:val="18"/>
              </w:rPr>
              <w:t>NFR-GVC-PERF-001</w:t>
            </w:r>
          </w:p>
        </w:tc>
        <w:tc>
          <w:tcPr>
            <w:tcW w:type="dxa" w:w="4896"/>
          </w:tcPr>
          <w:p>
            <w:pPr>
              <w:spacing w:after="0"/>
            </w:pPr>
            <w:r/>
            <w:r>
              <w:rPr>
                <w:b w:val="0"/>
                <w:sz w:val="18"/>
              </w:rPr>
              <w:t>Valuation computation (rate fetch + calculation + duty / fee) shall complete within 2 seconds</w:t>
            </w:r>
          </w:p>
        </w:tc>
        <w:tc>
          <w:tcPr>
            <w:tcW w:type="dxa" w:w="864"/>
          </w:tcPr>
          <w:p>
            <w:pPr>
              <w:spacing w:after="0"/>
            </w:pPr>
            <w:r/>
            <w:r>
              <w:rPr>
                <w:b w:val="0"/>
                <w:sz w:val="18"/>
              </w:rPr>
              <w:t>Must</w:t>
            </w:r>
          </w:p>
        </w:tc>
        <w:tc>
          <w:tcPr>
            <w:tcW w:type="dxa" w:w="2736"/>
          </w:tcPr>
          <w:p>
            <w:pPr>
              <w:spacing w:after="0"/>
            </w:pPr>
            <w:r/>
            <w:r>
              <w:rPr>
                <w:b w:val="0"/>
                <w:sz w:val="18"/>
              </w:rPr>
              <w:t>p95 under NFR-GVC-PERF-003 load</w:t>
            </w:r>
          </w:p>
        </w:tc>
      </w:tr>
      <w:tr>
        <w:tc>
          <w:tcPr>
            <w:tcW w:type="dxa" w:w="1728"/>
          </w:tcPr>
          <w:p>
            <w:pPr>
              <w:spacing w:after="0"/>
            </w:pPr>
            <w:r/>
            <w:r>
              <w:rPr>
                <w:b w:val="0"/>
                <w:sz w:val="18"/>
              </w:rPr>
              <w:t>NFR-GVC-PERF-002</w:t>
            </w:r>
          </w:p>
        </w:tc>
        <w:tc>
          <w:tcPr>
            <w:tcW w:type="dxa" w:w="4896"/>
          </w:tcPr>
          <w:p>
            <w:pPr>
              <w:spacing w:after="0"/>
            </w:pPr>
            <w:r/>
            <w:r>
              <w:rPr>
                <w:b w:val="0"/>
                <w:sz w:val="18"/>
              </w:rPr>
              <w:t>KSRSAC parcel lookup shall return within 5 seconds; map tiles render within 3 seconds</w:t>
            </w:r>
          </w:p>
        </w:tc>
        <w:tc>
          <w:tcPr>
            <w:tcW w:type="dxa" w:w="864"/>
          </w:tcPr>
          <w:p>
            <w:pPr>
              <w:spacing w:after="0"/>
            </w:pPr>
            <w:r/>
            <w:r>
              <w:rPr>
                <w:b w:val="0"/>
                <w:sz w:val="18"/>
              </w:rPr>
              <w:t>Must</w:t>
            </w:r>
          </w:p>
        </w:tc>
        <w:tc>
          <w:tcPr>
            <w:tcW w:type="dxa" w:w="2736"/>
          </w:tcPr>
          <w:p>
            <w:pPr>
              <w:spacing w:after="0"/>
            </w:pPr>
            <w:r/>
            <w:r>
              <w:rPr>
                <w:b w:val="0"/>
                <w:sz w:val="18"/>
              </w:rPr>
              <w:t>p95; timeout handled by FB-GVC-001</w:t>
            </w:r>
          </w:p>
        </w:tc>
      </w:tr>
      <w:tr>
        <w:tc>
          <w:tcPr>
            <w:tcW w:type="dxa" w:w="1728"/>
          </w:tcPr>
          <w:p>
            <w:pPr>
              <w:spacing w:after="0"/>
            </w:pPr>
            <w:r/>
            <w:r>
              <w:rPr>
                <w:b w:val="0"/>
                <w:sz w:val="18"/>
              </w:rPr>
              <w:t>NFR-GVC-PERF-003</w:t>
            </w:r>
          </w:p>
        </w:tc>
        <w:tc>
          <w:tcPr>
            <w:tcW w:type="dxa" w:w="4896"/>
          </w:tcPr>
          <w:p>
            <w:pPr>
              <w:spacing w:after="0"/>
            </w:pPr>
            <w:r/>
            <w:r>
              <w:rPr>
                <w:b w:val="0"/>
                <w:sz w:val="18"/>
              </w:rPr>
              <w:t>System shall support at least 5,000 concurrent citizen valuation sessions and 2,500 concurrent office sessions</w:t>
            </w:r>
          </w:p>
        </w:tc>
        <w:tc>
          <w:tcPr>
            <w:tcW w:type="dxa" w:w="864"/>
          </w:tcPr>
          <w:p>
            <w:pPr>
              <w:spacing w:after="0"/>
            </w:pPr>
            <w:r/>
            <w:r>
              <w:rPr>
                <w:b w:val="0"/>
                <w:sz w:val="18"/>
              </w:rPr>
              <w:t>Must</w:t>
            </w:r>
          </w:p>
        </w:tc>
        <w:tc>
          <w:tcPr>
            <w:tcW w:type="dxa" w:w="2736"/>
          </w:tcPr>
          <w:p>
            <w:pPr>
              <w:spacing w:after="0"/>
            </w:pPr>
            <w:r/>
            <w:r>
              <w:rPr>
                <w:b w:val="0"/>
                <w:sz w:val="18"/>
              </w:rPr>
              <w:t>Load-test evidence</w:t>
            </w:r>
          </w:p>
        </w:tc>
      </w:tr>
      <w:tr>
        <w:tc>
          <w:tcPr>
            <w:tcW w:type="dxa" w:w="1728"/>
          </w:tcPr>
          <w:p>
            <w:pPr>
              <w:spacing w:after="0"/>
            </w:pPr>
            <w:r/>
            <w:r>
              <w:rPr>
                <w:b w:val="0"/>
                <w:sz w:val="18"/>
              </w:rPr>
              <w:t>NFR-GVC-SCALE-001</w:t>
            </w:r>
          </w:p>
        </w:tc>
        <w:tc>
          <w:tcPr>
            <w:tcW w:type="dxa" w:w="4896"/>
          </w:tcPr>
          <w:p>
            <w:pPr>
              <w:spacing w:after="0"/>
            </w:pPr>
            <w:r/>
            <w:r>
              <w:rPr>
                <w:b w:val="0"/>
                <w:sz w:val="18"/>
              </w:rPr>
              <w:t>Infrastructure shall scale for a 300% surge around guideline-rate revision effective dates and financial year-end</w:t>
            </w:r>
          </w:p>
        </w:tc>
        <w:tc>
          <w:tcPr>
            <w:tcW w:type="dxa" w:w="864"/>
          </w:tcPr>
          <w:p>
            <w:pPr>
              <w:spacing w:after="0"/>
            </w:pPr>
            <w:r/>
            <w:r>
              <w:rPr>
                <w:b w:val="0"/>
                <w:sz w:val="18"/>
              </w:rPr>
              <w:t>Must</w:t>
            </w:r>
          </w:p>
        </w:tc>
        <w:tc>
          <w:tcPr>
            <w:tcW w:type="dxa" w:w="2736"/>
          </w:tcPr>
          <w:p>
            <w:pPr>
              <w:spacing w:after="0"/>
            </w:pPr>
            <w:r/>
            <w:r>
              <w:rPr>
                <w:b w:val="0"/>
                <w:sz w:val="18"/>
              </w:rPr>
              <w:t>Surge test at 3× baseline</w:t>
            </w:r>
          </w:p>
        </w:tc>
      </w:tr>
    </w:tbl>
    <w:p/>
    <w:p>
      <w:pPr>
        <w:pStyle w:val="Heading3"/>
      </w:pPr>
      <w:r>
        <w:t>9.2 Security, data integrity and privacy</w:t>
      </w:r>
    </w:p>
    <w:tbl>
      <w:tblPr>
        <w:tblStyle w:val="TableGrid"/>
        <w:tblW w:type="auto" w:w="0"/>
        <w:tblLook w:firstColumn="1" w:firstRow="1" w:lastColumn="0" w:lastRow="0" w:noHBand="0" w:noVBand="1" w:val="04A0"/>
      </w:tblPr>
      <w:tblGrid>
        <w:gridCol w:w="2556"/>
        <w:gridCol w:w="2556"/>
        <w:gridCol w:w="2556"/>
        <w:gridCol w:w="2556"/>
      </w:tblGrid>
      <w:tr>
        <w:tc>
          <w:tcPr>
            <w:tcW w:type="dxa" w:w="1728"/>
            <w:shd w:val="clear" w:color="auto" w:fill="D9E2F3"/>
          </w:tcPr>
          <w:p>
            <w:pPr>
              <w:spacing w:after="0"/>
            </w:pPr>
            <w:r/>
            <w:r>
              <w:rPr>
                <w:b/>
                <w:sz w:val="18"/>
              </w:rPr>
              <w:t>Req ID</w:t>
            </w:r>
          </w:p>
        </w:tc>
        <w:tc>
          <w:tcPr>
            <w:tcW w:type="dxa" w:w="4896"/>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728"/>
          </w:tcPr>
          <w:p>
            <w:pPr>
              <w:spacing w:after="0"/>
            </w:pPr>
            <w:r/>
            <w:r>
              <w:rPr>
                <w:b w:val="0"/>
                <w:sz w:val="18"/>
              </w:rPr>
              <w:t>NFR-GVC-SEC-001</w:t>
            </w:r>
          </w:p>
        </w:tc>
        <w:tc>
          <w:tcPr>
            <w:tcW w:type="dxa" w:w="4896"/>
          </w:tcPr>
          <w:p>
            <w:pPr>
              <w:spacing w:after="0"/>
            </w:pPr>
            <w:r/>
            <w:r>
              <w:rPr>
                <w:b w:val="0"/>
                <w:sz w:val="18"/>
              </w:rPr>
              <w:t>Data in transit shall use TLS 1.3 and data at rest AES-256</w:t>
            </w:r>
          </w:p>
        </w:tc>
        <w:tc>
          <w:tcPr>
            <w:tcW w:type="dxa" w:w="864"/>
          </w:tcPr>
          <w:p>
            <w:pPr>
              <w:spacing w:after="0"/>
            </w:pPr>
            <w:r/>
            <w:r>
              <w:rPr>
                <w:b w:val="0"/>
                <w:sz w:val="18"/>
              </w:rPr>
              <w:t>Must</w:t>
            </w:r>
          </w:p>
        </w:tc>
        <w:tc>
          <w:tcPr>
            <w:tcW w:type="dxa" w:w="2736"/>
          </w:tcPr>
          <w:p>
            <w:pPr>
              <w:spacing w:after="0"/>
            </w:pPr>
            <w:r/>
            <w:r>
              <w:rPr>
                <w:b w:val="0"/>
                <w:sz w:val="18"/>
              </w:rPr>
              <w:t>Confirmed in hosting design</w:t>
            </w:r>
          </w:p>
        </w:tc>
      </w:tr>
      <w:tr>
        <w:tc>
          <w:tcPr>
            <w:tcW w:type="dxa" w:w="1728"/>
          </w:tcPr>
          <w:p>
            <w:pPr>
              <w:spacing w:after="0"/>
            </w:pPr>
            <w:r/>
            <w:r>
              <w:rPr>
                <w:b w:val="0"/>
                <w:sz w:val="18"/>
              </w:rPr>
              <w:t>NFR-GVC-INT-001</w:t>
            </w:r>
          </w:p>
        </w:tc>
        <w:tc>
          <w:tcPr>
            <w:tcW w:type="dxa" w:w="4896"/>
          </w:tcPr>
          <w:p>
            <w:pPr>
              <w:spacing w:after="0"/>
            </w:pPr>
            <w:r/>
            <w:r>
              <w:rPr>
                <w:b w:val="0"/>
                <w:sz w:val="18"/>
              </w:rPr>
              <w:t>Published rate versions consumed by valuation shall be immutable; every valuation shall store the rate version ID used</w:t>
            </w:r>
          </w:p>
        </w:tc>
        <w:tc>
          <w:tcPr>
            <w:tcW w:type="dxa" w:w="864"/>
          </w:tcPr>
          <w:p>
            <w:pPr>
              <w:spacing w:after="0"/>
            </w:pPr>
            <w:r/>
            <w:r>
              <w:rPr>
                <w:b w:val="0"/>
                <w:sz w:val="18"/>
              </w:rPr>
              <w:t>Must</w:t>
            </w:r>
          </w:p>
        </w:tc>
        <w:tc>
          <w:tcPr>
            <w:tcW w:type="dxa" w:w="2736"/>
          </w:tcPr>
          <w:p>
            <w:pPr>
              <w:spacing w:after="0"/>
            </w:pPr>
            <w:r/>
            <w:r>
              <w:rPr>
                <w:b w:val="0"/>
                <w:sz w:val="18"/>
              </w:rPr>
              <w:t>Recalculation reproduces the same value</w:t>
            </w:r>
          </w:p>
        </w:tc>
      </w:tr>
      <w:tr>
        <w:tc>
          <w:tcPr>
            <w:tcW w:type="dxa" w:w="1728"/>
          </w:tcPr>
          <w:p>
            <w:pPr>
              <w:spacing w:after="0"/>
            </w:pPr>
            <w:r/>
            <w:r>
              <w:rPr>
                <w:b w:val="0"/>
                <w:sz w:val="18"/>
              </w:rPr>
              <w:t>NFR-GVC-AUD-001</w:t>
            </w:r>
          </w:p>
        </w:tc>
        <w:tc>
          <w:tcPr>
            <w:tcW w:type="dxa" w:w="4896"/>
          </w:tcPr>
          <w:p>
            <w:pPr>
              <w:spacing w:after="0"/>
            </w:pPr>
            <w:r/>
            <w:r>
              <w:rPr>
                <w:b w:val="0"/>
                <w:sz w:val="18"/>
              </w:rPr>
              <w:t>All valuation decisions, manual-area selections, SR decisions, Sec. 45-A orders and payments shall generate an immutable, timestamped audit log with actor ID</w:t>
            </w:r>
          </w:p>
        </w:tc>
        <w:tc>
          <w:tcPr>
            <w:tcW w:type="dxa" w:w="864"/>
          </w:tcPr>
          <w:p>
            <w:pPr>
              <w:spacing w:after="0"/>
            </w:pPr>
            <w:r/>
            <w:r>
              <w:rPr>
                <w:b w:val="0"/>
                <w:sz w:val="18"/>
              </w:rPr>
              <w:t>Must</w:t>
            </w:r>
          </w:p>
        </w:tc>
        <w:tc>
          <w:tcPr>
            <w:tcW w:type="dxa" w:w="2736"/>
          </w:tcPr>
          <w:p>
            <w:pPr>
              <w:spacing w:after="0"/>
            </w:pPr>
            <w:r/>
            <w:r>
              <w:rPr>
                <w:b w:val="0"/>
                <w:sz w:val="18"/>
              </w:rPr>
              <w:t>Append-only audit store</w:t>
            </w:r>
          </w:p>
        </w:tc>
      </w:tr>
      <w:tr>
        <w:tc>
          <w:tcPr>
            <w:tcW w:type="dxa" w:w="1728"/>
          </w:tcPr>
          <w:p>
            <w:pPr>
              <w:spacing w:after="0"/>
            </w:pPr>
            <w:r/>
            <w:r>
              <w:rPr>
                <w:b w:val="0"/>
                <w:sz w:val="18"/>
              </w:rPr>
              <w:t>NFR-GVC-PRIV-001</w:t>
            </w:r>
          </w:p>
        </w:tc>
        <w:tc>
          <w:tcPr>
            <w:tcW w:type="dxa" w:w="4896"/>
          </w:tcPr>
          <w:p>
            <w:pPr>
              <w:spacing w:after="0"/>
            </w:pPr>
            <w:r/>
            <w:r>
              <w:rPr>
                <w:b w:val="0"/>
                <w:sz w:val="18"/>
              </w:rPr>
              <w:t>Party PII shall be masked in logs and unauthorised views</w:t>
            </w:r>
          </w:p>
        </w:tc>
        <w:tc>
          <w:tcPr>
            <w:tcW w:type="dxa" w:w="864"/>
          </w:tcPr>
          <w:p>
            <w:pPr>
              <w:spacing w:after="0"/>
            </w:pPr>
            <w:r/>
            <w:r>
              <w:rPr>
                <w:b w:val="0"/>
                <w:sz w:val="18"/>
              </w:rPr>
              <w:t>Must</w:t>
            </w:r>
          </w:p>
        </w:tc>
        <w:tc>
          <w:tcPr>
            <w:tcW w:type="dxa" w:w="2736"/>
          </w:tcPr>
          <w:p>
            <w:pPr>
              <w:spacing w:after="0"/>
            </w:pPr>
            <w:r/>
            <w:r>
              <w:rPr>
                <w:b w:val="0"/>
                <w:sz w:val="18"/>
              </w:rPr>
              <w:t>Log review</w:t>
            </w:r>
          </w:p>
        </w:tc>
      </w:tr>
    </w:tbl>
    <w:p/>
    <w:p>
      <w:pPr>
        <w:pStyle w:val="Heading3"/>
      </w:pPr>
      <w:r>
        <w:t>9.3 System availability and error handling</w:t>
      </w:r>
    </w:p>
    <w:tbl>
      <w:tblPr>
        <w:tblStyle w:val="TableGrid"/>
        <w:tblW w:type="auto" w:w="0"/>
        <w:tblLook w:firstColumn="1" w:firstRow="1" w:lastColumn="0" w:lastRow="0" w:noHBand="0" w:noVBand="1" w:val="04A0"/>
      </w:tblPr>
      <w:tblGrid>
        <w:gridCol w:w="2556"/>
        <w:gridCol w:w="2556"/>
        <w:gridCol w:w="2556"/>
        <w:gridCol w:w="2556"/>
      </w:tblGrid>
      <w:tr>
        <w:tc>
          <w:tcPr>
            <w:tcW w:type="dxa" w:w="1728"/>
            <w:shd w:val="clear" w:color="auto" w:fill="D9E2F3"/>
          </w:tcPr>
          <w:p>
            <w:pPr>
              <w:spacing w:after="0"/>
            </w:pPr>
            <w:r/>
            <w:r>
              <w:rPr>
                <w:b/>
                <w:sz w:val="18"/>
              </w:rPr>
              <w:t>Req ID</w:t>
            </w:r>
          </w:p>
        </w:tc>
        <w:tc>
          <w:tcPr>
            <w:tcW w:type="dxa" w:w="4896"/>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728"/>
          </w:tcPr>
          <w:p>
            <w:pPr>
              <w:spacing w:after="0"/>
            </w:pPr>
            <w:r/>
            <w:r>
              <w:rPr>
                <w:b w:val="0"/>
                <w:sz w:val="18"/>
              </w:rPr>
              <w:t>NFR-GVC-AVA-001</w:t>
            </w:r>
          </w:p>
        </w:tc>
        <w:tc>
          <w:tcPr>
            <w:tcW w:type="dxa" w:w="4896"/>
          </w:tcPr>
          <w:p>
            <w:pPr>
              <w:spacing w:after="0"/>
            </w:pPr>
            <w:r/>
            <w:r>
              <w:rPr>
                <w:b w:val="0"/>
                <w:sz w:val="18"/>
              </w:rPr>
              <w:t>If KSRSAC, the fee engine or the payment gateway is unavailable, the system shall show a clear bilingual message and keep the valuation resumable without data loss</w:t>
            </w:r>
          </w:p>
        </w:tc>
        <w:tc>
          <w:tcPr>
            <w:tcW w:type="dxa" w:w="864"/>
          </w:tcPr>
          <w:p>
            <w:pPr>
              <w:spacing w:after="0"/>
            </w:pPr>
            <w:r/>
            <w:r>
              <w:rPr>
                <w:b w:val="0"/>
                <w:sz w:val="18"/>
              </w:rPr>
              <w:t>Must</w:t>
            </w:r>
          </w:p>
        </w:tc>
        <w:tc>
          <w:tcPr>
            <w:tcW w:type="dxa" w:w="2736"/>
          </w:tcPr>
          <w:p>
            <w:pPr>
              <w:spacing w:after="0"/>
            </w:pPr>
            <w:r/>
            <w:r>
              <w:rPr>
                <w:b w:val="0"/>
                <w:sz w:val="18"/>
              </w:rPr>
              <w:t>Outage test; state resumable</w:t>
            </w:r>
          </w:p>
        </w:tc>
      </w:tr>
      <w:tr>
        <w:tc>
          <w:tcPr>
            <w:tcW w:type="dxa" w:w="1728"/>
          </w:tcPr>
          <w:p>
            <w:pPr>
              <w:spacing w:after="0"/>
            </w:pPr>
            <w:r/>
            <w:r>
              <w:rPr>
                <w:b w:val="0"/>
                <w:sz w:val="18"/>
              </w:rPr>
              <w:t>NFR-GVC-PAY-001</w:t>
            </w:r>
          </w:p>
        </w:tc>
        <w:tc>
          <w:tcPr>
            <w:tcW w:type="dxa" w:w="4896"/>
          </w:tcPr>
          <w:p>
            <w:pPr>
              <w:spacing w:after="0"/>
            </w:pPr>
            <w:r/>
            <w:r>
              <w:rPr>
                <w:b w:val="0"/>
                <w:sz w:val="18"/>
              </w:rPr>
              <w:t>On payment timeout, the system shall poll for the final status and lock the pay action to prevent duplicate payment</w:t>
            </w:r>
          </w:p>
        </w:tc>
        <w:tc>
          <w:tcPr>
            <w:tcW w:type="dxa" w:w="864"/>
          </w:tcPr>
          <w:p>
            <w:pPr>
              <w:spacing w:after="0"/>
            </w:pPr>
            <w:r/>
            <w:r>
              <w:rPr>
                <w:b w:val="0"/>
                <w:sz w:val="18"/>
              </w:rPr>
              <w:t>Must</w:t>
            </w:r>
          </w:p>
        </w:tc>
        <w:tc>
          <w:tcPr>
            <w:tcW w:type="dxa" w:w="2736"/>
          </w:tcPr>
          <w:p>
            <w:pPr>
              <w:spacing w:after="0"/>
            </w:pPr>
            <w:r/>
            <w:r>
              <w:rPr>
                <w:b w:val="0"/>
                <w:sz w:val="18"/>
              </w:rPr>
              <w:t>No double debit</w:t>
            </w:r>
          </w:p>
        </w:tc>
      </w:tr>
    </w:tbl>
    <w:p/>
    <w:p>
      <w:pPr>
        <w:pStyle w:val="Heading3"/>
      </w:pPr>
      <w:r>
        <w:t>9.4 Security audit and compliance (VAPT policy)</w:t>
      </w:r>
    </w:p>
    <w:tbl>
      <w:tblPr>
        <w:tblStyle w:val="TableGrid"/>
        <w:tblW w:type="auto" w:w="0"/>
        <w:tblLook w:firstColumn="1" w:firstRow="1" w:lastColumn="0" w:lastRow="0" w:noHBand="0" w:noVBand="1" w:val="04A0"/>
      </w:tblPr>
      <w:tblGrid>
        <w:gridCol w:w="2556"/>
        <w:gridCol w:w="2556"/>
        <w:gridCol w:w="2556"/>
        <w:gridCol w:w="2556"/>
      </w:tblGrid>
      <w:tr>
        <w:tc>
          <w:tcPr>
            <w:tcW w:type="dxa" w:w="1728"/>
            <w:shd w:val="clear" w:color="auto" w:fill="D9E2F3"/>
          </w:tcPr>
          <w:p>
            <w:pPr>
              <w:spacing w:after="0"/>
            </w:pPr>
            <w:r/>
            <w:r>
              <w:rPr>
                <w:b/>
                <w:sz w:val="18"/>
              </w:rPr>
              <w:t>Req ID</w:t>
            </w:r>
          </w:p>
        </w:tc>
        <w:tc>
          <w:tcPr>
            <w:tcW w:type="dxa" w:w="4896"/>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728"/>
          </w:tcPr>
          <w:p>
            <w:pPr>
              <w:spacing w:after="0"/>
            </w:pPr>
            <w:r/>
            <w:r>
              <w:rPr>
                <w:b w:val="0"/>
                <w:sz w:val="18"/>
              </w:rPr>
              <w:t>NFR-GVC-VAPT-001</w:t>
            </w:r>
          </w:p>
        </w:tc>
        <w:tc>
          <w:tcPr>
            <w:tcW w:type="dxa" w:w="4896"/>
          </w:tcPr>
          <w:p>
            <w:pPr>
              <w:spacing w:after="0"/>
            </w:pPr>
            <w:r/>
            <w:r>
              <w:rPr>
                <w:b w:val="0"/>
                <w:sz w:val="18"/>
              </w:rPr>
              <w:t>The module shall undergo comprehensive VAPT (web, API, GIS integration, payment) covering OWASP Top 10 and business-logic flaws before production</w:t>
            </w:r>
          </w:p>
        </w:tc>
        <w:tc>
          <w:tcPr>
            <w:tcW w:type="dxa" w:w="864"/>
          </w:tcPr>
          <w:p>
            <w:pPr>
              <w:spacing w:after="0"/>
            </w:pPr>
            <w:r/>
            <w:r>
              <w:rPr>
                <w:b w:val="0"/>
                <w:sz w:val="18"/>
              </w:rPr>
              <w:t>Must</w:t>
            </w:r>
          </w:p>
        </w:tc>
        <w:tc>
          <w:tcPr>
            <w:tcW w:type="dxa" w:w="2736"/>
          </w:tcPr>
          <w:p>
            <w:pPr>
              <w:spacing w:after="0"/>
            </w:pPr>
            <w:r/>
            <w:r>
              <w:rPr>
                <w:b w:val="0"/>
                <w:sz w:val="18"/>
              </w:rPr>
              <w:t>VAPT report accepted by Security</w:t>
            </w:r>
          </w:p>
        </w:tc>
      </w:tr>
      <w:tr>
        <w:tc>
          <w:tcPr>
            <w:tcW w:type="dxa" w:w="1728"/>
          </w:tcPr>
          <w:p>
            <w:pPr>
              <w:spacing w:after="0"/>
            </w:pPr>
            <w:r/>
            <w:r>
              <w:rPr>
                <w:b w:val="0"/>
                <w:sz w:val="18"/>
              </w:rPr>
              <w:t>NFR-GVC-VAPT-002</w:t>
            </w:r>
          </w:p>
        </w:tc>
        <w:tc>
          <w:tcPr>
            <w:tcW w:type="dxa" w:w="4896"/>
          </w:tcPr>
          <w:p>
            <w:pPr>
              <w:spacing w:after="0"/>
            </w:pPr>
            <w:r/>
            <w:r>
              <w:rPr>
                <w:b w:val="0"/>
                <w:sz w:val="18"/>
              </w:rPr>
              <w:t>Critical / high findings shall be remediated and re-tested before Go-Live; annual and change-triggered VAPT thereafter</w:t>
            </w:r>
          </w:p>
        </w:tc>
        <w:tc>
          <w:tcPr>
            <w:tcW w:type="dxa" w:w="864"/>
          </w:tcPr>
          <w:p>
            <w:pPr>
              <w:spacing w:after="0"/>
            </w:pPr>
            <w:r/>
            <w:r>
              <w:rPr>
                <w:b w:val="0"/>
                <w:sz w:val="18"/>
              </w:rPr>
              <w:t>Must</w:t>
            </w:r>
          </w:p>
        </w:tc>
        <w:tc>
          <w:tcPr>
            <w:tcW w:type="dxa" w:w="2736"/>
          </w:tcPr>
          <w:p>
            <w:pPr>
              <w:spacing w:after="0"/>
            </w:pPr>
            <w:r/>
            <w:r>
              <w:rPr>
                <w:b w:val="0"/>
                <w:sz w:val="18"/>
              </w:rPr>
              <w:t>Zero open Critical / High at Go-Live</w:t>
            </w:r>
          </w:p>
        </w:tc>
      </w:tr>
    </w:tbl>
    <w:p/>
    <w:p>
      <w:pPr>
        <w:pStyle w:val="Heading2"/>
      </w:pPr>
      <w:r>
        <w:t>10. Risk and mitigation strategy</w:t>
      </w:r>
    </w:p>
    <w:p>
      <w:pPr/>
      <w:r>
        <w:t>Operational, technical and adoption risks for guideline value calculation and GIS valuation, with mandatory mitigations.</w:t>
      </w:r>
    </w:p>
    <w:tbl>
      <w:tblPr>
        <w:tblStyle w:val="TableGrid"/>
        <w:tblW w:type="auto" w:w="0"/>
        <w:tblLook w:firstColumn="1" w:firstRow="1" w:lastColumn="0" w:lastRow="0" w:noHBand="0" w:noVBand="1" w:val="04A0"/>
      </w:tblPr>
      <w:tblGrid>
        <w:gridCol w:w="2556"/>
        <w:gridCol w:w="2556"/>
        <w:gridCol w:w="2556"/>
        <w:gridCol w:w="2556"/>
      </w:tblGrid>
      <w:tr>
        <w:tc>
          <w:tcPr>
            <w:tcW w:type="dxa" w:w="1296"/>
            <w:shd w:val="clear" w:color="auto" w:fill="D9E2F3"/>
          </w:tcPr>
          <w:p>
            <w:pPr>
              <w:spacing w:after="0"/>
            </w:pPr>
            <w:r/>
            <w:r>
              <w:rPr>
                <w:b/>
                <w:sz w:val="18"/>
              </w:rPr>
              <w:t>Risk ID</w:t>
            </w:r>
          </w:p>
        </w:tc>
        <w:tc>
          <w:tcPr>
            <w:tcW w:type="dxa" w:w="2736"/>
            <w:shd w:val="clear" w:color="auto" w:fill="D9E2F3"/>
          </w:tcPr>
          <w:p>
            <w:pPr>
              <w:spacing w:after="0"/>
            </w:pPr>
            <w:r/>
            <w:r>
              <w:rPr>
                <w:b/>
                <w:sz w:val="18"/>
              </w:rPr>
              <w:t>Risk</w:t>
            </w:r>
          </w:p>
        </w:tc>
        <w:tc>
          <w:tcPr>
            <w:tcW w:type="dxa" w:w="3456"/>
            <w:shd w:val="clear" w:color="auto" w:fill="D9E2F3"/>
          </w:tcPr>
          <w:p>
            <w:pPr>
              <w:spacing w:after="0"/>
            </w:pPr>
            <w:r/>
            <w:r>
              <w:rPr>
                <w:b/>
                <w:sz w:val="18"/>
              </w:rPr>
              <w:t>Mitigation</w:t>
            </w:r>
          </w:p>
        </w:tc>
        <w:tc>
          <w:tcPr>
            <w:tcW w:type="dxa" w:w="1872"/>
            <w:shd w:val="clear" w:color="auto" w:fill="D9E2F3"/>
          </w:tcPr>
          <w:p>
            <w:pPr>
              <w:spacing w:after="0"/>
            </w:pPr>
            <w:r/>
            <w:r>
              <w:rPr>
                <w:b/>
                <w:sz w:val="18"/>
              </w:rPr>
              <w:t>Related requirements</w:t>
            </w:r>
          </w:p>
        </w:tc>
      </w:tr>
      <w:tr>
        <w:tc>
          <w:tcPr>
            <w:tcW w:type="dxa" w:w="1296"/>
          </w:tcPr>
          <w:p>
            <w:pPr>
              <w:spacing w:after="0"/>
            </w:pPr>
            <w:r/>
            <w:r>
              <w:rPr>
                <w:b w:val="0"/>
                <w:sz w:val="18"/>
              </w:rPr>
              <w:t>RS-GVC-001</w:t>
            </w:r>
          </w:p>
        </w:tc>
        <w:tc>
          <w:tcPr>
            <w:tcW w:type="dxa" w:w="2736"/>
          </w:tcPr>
          <w:p>
            <w:pPr>
              <w:spacing w:after="0"/>
            </w:pPr>
            <w:r/>
            <w:r>
              <w:rPr>
                <w:b w:val="0"/>
                <w:sz w:val="18"/>
              </w:rPr>
              <w:t>KSRSAC cadastral data is incomplete or misaligned with Kaveri village / CVC area masters, producing wrong or no spatial match</w:t>
            </w:r>
          </w:p>
        </w:tc>
        <w:tc>
          <w:tcPr>
            <w:tcW w:type="dxa" w:w="3456"/>
          </w:tcPr>
          <w:p>
            <w:pPr>
              <w:spacing w:after="0"/>
            </w:pPr>
            <w:r/>
            <w:r>
              <w:rPr>
                <w:b w:val="0"/>
                <w:sz w:val="18"/>
              </w:rPr>
              <w:t>Crosswalk masters, reconciliation reports and manual-area fallback with reason and SR flag; phased district roll-out after match-rate threshold is met</w:t>
            </w:r>
          </w:p>
        </w:tc>
        <w:tc>
          <w:tcPr>
            <w:tcW w:type="dxa" w:w="1872"/>
          </w:tcPr>
          <w:p>
            <w:pPr>
              <w:spacing w:after="0"/>
            </w:pPr>
            <w:r/>
            <w:r>
              <w:rPr>
                <w:b w:val="0"/>
                <w:sz w:val="18"/>
              </w:rPr>
              <w:t>FR-GIS-002, FR-GIS-020–024, FR-GVC-065</w:t>
            </w:r>
          </w:p>
        </w:tc>
      </w:tr>
      <w:tr>
        <w:tc>
          <w:tcPr>
            <w:tcW w:type="dxa" w:w="1296"/>
          </w:tcPr>
          <w:p>
            <w:pPr>
              <w:spacing w:after="0"/>
            </w:pPr>
            <w:r/>
            <w:r>
              <w:rPr>
                <w:b w:val="0"/>
                <w:sz w:val="18"/>
              </w:rPr>
              <w:t>RS-GVC-002</w:t>
            </w:r>
          </w:p>
        </w:tc>
        <w:tc>
          <w:tcPr>
            <w:tcW w:type="dxa" w:w="2736"/>
          </w:tcPr>
          <w:p>
            <w:pPr>
              <w:spacing w:after="0"/>
            </w:pPr>
            <w:r/>
            <w:r>
              <w:rPr>
                <w:b w:val="0"/>
                <w:sz w:val="18"/>
              </w:rPr>
              <w:t>CVC rate gaps for some areas / property types at go-live</w:t>
            </w:r>
          </w:p>
        </w:tc>
        <w:tc>
          <w:tcPr>
            <w:tcW w:type="dxa" w:w="3456"/>
          </w:tcPr>
          <w:p>
            <w:pPr>
              <w:spacing w:after="0"/>
            </w:pPr>
            <w:r/>
            <w:r>
              <w:rPr>
                <w:b w:val="0"/>
                <w:sz w:val="18"/>
              </w:rPr>
              <w:t>Rate-gap detection and routing to CVC; pre-go-live coverage report from CVC module</w:t>
            </w:r>
          </w:p>
        </w:tc>
        <w:tc>
          <w:tcPr>
            <w:tcW w:type="dxa" w:w="1872"/>
          </w:tcPr>
          <w:p>
            <w:pPr>
              <w:spacing w:after="0"/>
            </w:pPr>
            <w:r/>
            <w:r>
              <w:rPr>
                <w:b w:val="0"/>
                <w:sz w:val="18"/>
              </w:rPr>
              <w:t>FR-GVC-015, FR-GVC-062</w:t>
            </w:r>
          </w:p>
        </w:tc>
      </w:tr>
      <w:tr>
        <w:tc>
          <w:tcPr>
            <w:tcW w:type="dxa" w:w="1296"/>
          </w:tcPr>
          <w:p>
            <w:pPr>
              <w:spacing w:after="0"/>
            </w:pPr>
            <w:r/>
            <w:r>
              <w:rPr>
                <w:b w:val="0"/>
                <w:sz w:val="18"/>
              </w:rPr>
              <w:t>RS-GVC-003</w:t>
            </w:r>
          </w:p>
        </w:tc>
        <w:tc>
          <w:tcPr>
            <w:tcW w:type="dxa" w:w="2736"/>
          </w:tcPr>
          <w:p>
            <w:pPr>
              <w:spacing w:after="0"/>
            </w:pPr>
            <w:r/>
            <w:r>
              <w:rPr>
                <w:b w:val="0"/>
                <w:sz w:val="18"/>
              </w:rPr>
              <w:t>Divergence between valuation and fee engine causes zero / wrong duty</w:t>
            </w:r>
          </w:p>
        </w:tc>
        <w:tc>
          <w:tcPr>
            <w:tcW w:type="dxa" w:w="3456"/>
          </w:tcPr>
          <w:p>
            <w:pPr>
              <w:spacing w:after="0"/>
            </w:pPr>
            <w:r/>
            <w:r>
              <w:rPr>
                <w:b w:val="0"/>
                <w:sz w:val="18"/>
              </w:rPr>
              <w:t>Single market value hand-off contract; Save gate; regression suite per Schedule article</w:t>
            </w:r>
          </w:p>
        </w:tc>
        <w:tc>
          <w:tcPr>
            <w:tcW w:type="dxa" w:w="1872"/>
          </w:tcPr>
          <w:p>
            <w:pPr>
              <w:spacing w:after="0"/>
            </w:pPr>
            <w:r/>
            <w:r>
              <w:rPr>
                <w:b w:val="0"/>
                <w:sz w:val="18"/>
              </w:rPr>
              <w:t>FR-GVC-033, FR-GVC-034</w:t>
            </w:r>
          </w:p>
        </w:tc>
      </w:tr>
      <w:tr>
        <w:tc>
          <w:tcPr>
            <w:tcW w:type="dxa" w:w="1296"/>
          </w:tcPr>
          <w:p>
            <w:pPr>
              <w:spacing w:after="0"/>
            </w:pPr>
            <w:r/>
            <w:r>
              <w:rPr>
                <w:b w:val="0"/>
                <w:sz w:val="18"/>
              </w:rPr>
              <w:t>RS-GVC-004</w:t>
            </w:r>
          </w:p>
        </w:tc>
        <w:tc>
          <w:tcPr>
            <w:tcW w:type="dxa" w:w="2736"/>
          </w:tcPr>
          <w:p>
            <w:pPr>
              <w:spacing w:after="0"/>
            </w:pPr>
            <w:r/>
            <w:r>
              <w:rPr>
                <w:b w:val="0"/>
                <w:sz w:val="18"/>
              </w:rPr>
              <w:t>Migration of legacy pending Sec. 45-A cases is incomplete</w:t>
            </w:r>
          </w:p>
        </w:tc>
        <w:tc>
          <w:tcPr>
            <w:tcW w:type="dxa" w:w="3456"/>
          </w:tcPr>
          <w:p>
            <w:pPr>
              <w:spacing w:after="0"/>
            </w:pPr>
            <w:r/>
            <w:r>
              <w:rPr>
                <w:b w:val="0"/>
                <w:sz w:val="18"/>
              </w:rPr>
              <w:t>Case-by-case reconciliation with DC offices before cut-over</w:t>
            </w:r>
          </w:p>
        </w:tc>
        <w:tc>
          <w:tcPr>
            <w:tcW w:type="dxa" w:w="1872"/>
          </w:tcPr>
          <w:p>
            <w:pPr>
              <w:spacing w:after="0"/>
            </w:pPr>
            <w:r/>
            <w:r>
              <w:rPr>
                <w:b w:val="0"/>
                <w:sz w:val="18"/>
              </w:rPr>
              <w:t>FR-UV-026</w:t>
            </w:r>
          </w:p>
        </w:tc>
      </w:tr>
      <w:tr>
        <w:tc>
          <w:tcPr>
            <w:tcW w:type="dxa" w:w="1296"/>
          </w:tcPr>
          <w:p>
            <w:pPr>
              <w:spacing w:after="0"/>
            </w:pPr>
            <w:r/>
            <w:r>
              <w:rPr>
                <w:b w:val="0"/>
                <w:sz w:val="18"/>
              </w:rPr>
              <w:t>RS-GVC-005</w:t>
            </w:r>
          </w:p>
        </w:tc>
        <w:tc>
          <w:tcPr>
            <w:tcW w:type="dxa" w:w="2736"/>
          </w:tcPr>
          <w:p>
            <w:pPr>
              <w:spacing w:after="0"/>
            </w:pPr>
            <w:r/>
            <w:r>
              <w:rPr>
                <w:b w:val="0"/>
                <w:sz w:val="18"/>
              </w:rPr>
              <w:t>Users find GIS map selection difficult</w:t>
            </w:r>
          </w:p>
        </w:tc>
        <w:tc>
          <w:tcPr>
            <w:tcW w:type="dxa" w:w="3456"/>
          </w:tcPr>
          <w:p>
            <w:pPr>
              <w:spacing w:after="0"/>
            </w:pPr>
            <w:r/>
            <w:r>
              <w:rPr>
                <w:b w:val="0"/>
                <w:sz w:val="18"/>
              </w:rPr>
              <w:t>Identifier-first search with map as confirmation; guided help and tooltips</w:t>
            </w:r>
          </w:p>
        </w:tc>
        <w:tc>
          <w:tcPr>
            <w:tcW w:type="dxa" w:w="1872"/>
          </w:tcPr>
          <w:p>
            <w:pPr>
              <w:spacing w:after="0"/>
            </w:pPr>
            <w:r/>
            <w:r>
              <w:rPr>
                <w:b w:val="0"/>
                <w:sz w:val="18"/>
              </w:rPr>
              <w:t>FR-GVC-002, FR-GIS-007</w:t>
            </w:r>
          </w:p>
        </w:tc>
      </w:tr>
    </w:tbl>
    <w:p/>
    <w:p>
      <w:pPr>
        <w:pStyle w:val="Heading2"/>
      </w:pPr>
      <w:r>
        <w:t>11. System fallbacks and error handling</w:t>
      </w:r>
    </w:p>
    <w:p>
      <w:pPr/>
      <w:r>
        <w:t>The system shall handle exceptions and integration failures without losing user data. 9.3 states the availability NFR; this section specifies the operational fallbacks.</w:t>
      </w:r>
    </w:p>
    <w:tbl>
      <w:tblPr>
        <w:tblStyle w:val="TableGrid"/>
        <w:tblW w:type="auto" w:w="0"/>
        <w:tblLook w:firstColumn="1" w:firstRow="1" w:lastColumn="0" w:lastRow="0" w:noHBand="0" w:noVBand="1" w:val="04A0"/>
      </w:tblPr>
      <w:tblGrid>
        <w:gridCol w:w="2556"/>
        <w:gridCol w:w="2556"/>
        <w:gridCol w:w="2556"/>
        <w:gridCol w:w="2556"/>
      </w:tblGrid>
      <w:tr>
        <w:tc>
          <w:tcPr>
            <w:tcW w:type="dxa" w:w="1440"/>
            <w:shd w:val="clear" w:color="auto" w:fill="D9E2F3"/>
          </w:tcPr>
          <w:p>
            <w:pPr>
              <w:spacing w:after="0"/>
            </w:pPr>
            <w:r/>
            <w:r>
              <w:rPr>
                <w:b/>
                <w:sz w:val="18"/>
              </w:rPr>
              <w:t>Req ID</w:t>
            </w:r>
          </w:p>
        </w:tc>
        <w:tc>
          <w:tcPr>
            <w:tcW w:type="dxa" w:w="5184"/>
            <w:shd w:val="clear" w:color="auto" w:fill="D9E2F3"/>
          </w:tcPr>
          <w:p>
            <w:pPr>
              <w:spacing w:after="0"/>
            </w:pPr>
            <w:r/>
            <w:r>
              <w:rPr>
                <w:b/>
                <w:sz w:val="18"/>
              </w:rPr>
              <w:t>Requirement</w:t>
            </w:r>
          </w:p>
        </w:tc>
        <w:tc>
          <w:tcPr>
            <w:tcW w:type="dxa" w:w="864"/>
            <w:shd w:val="clear" w:color="auto" w:fill="D9E2F3"/>
          </w:tcPr>
          <w:p>
            <w:pPr>
              <w:spacing w:after="0"/>
            </w:pPr>
            <w:r/>
            <w:r>
              <w:rPr>
                <w:b/>
                <w:sz w:val="18"/>
              </w:rPr>
              <w:t>Priority</w:t>
            </w:r>
          </w:p>
        </w:tc>
        <w:tc>
          <w:tcPr>
            <w:tcW w:type="dxa" w:w="2736"/>
            <w:shd w:val="clear" w:color="auto" w:fill="D9E2F3"/>
          </w:tcPr>
          <w:p>
            <w:pPr>
              <w:spacing w:after="0"/>
            </w:pPr>
            <w:r/>
            <w:r>
              <w:rPr>
                <w:b/>
                <w:sz w:val="18"/>
              </w:rPr>
              <w:t>Acceptance criteria</w:t>
            </w:r>
          </w:p>
        </w:tc>
      </w:tr>
      <w:tr>
        <w:tc>
          <w:tcPr>
            <w:tcW w:type="dxa" w:w="1440"/>
          </w:tcPr>
          <w:p>
            <w:pPr>
              <w:spacing w:after="0"/>
            </w:pPr>
            <w:r/>
            <w:r>
              <w:rPr>
                <w:b w:val="0"/>
                <w:sz w:val="18"/>
              </w:rPr>
              <w:t>FB-GVC-001</w:t>
            </w:r>
          </w:p>
        </w:tc>
        <w:tc>
          <w:tcPr>
            <w:tcW w:type="dxa" w:w="5184"/>
          </w:tcPr>
          <w:p>
            <w:pPr>
              <w:spacing w:after="0"/>
            </w:pPr>
            <w:r/>
            <w:r>
              <w:rPr>
                <w:b w:val="0"/>
                <w:sz w:val="18"/>
              </w:rPr>
              <w:t>KSRSAC unavailable or timed out: allow manual valuation-area selection with reason, flag for SR, and retry GIS lookup in background; record that the snapshot is pending</w:t>
            </w:r>
          </w:p>
        </w:tc>
        <w:tc>
          <w:tcPr>
            <w:tcW w:type="dxa" w:w="864"/>
          </w:tcPr>
          <w:p>
            <w:pPr>
              <w:spacing w:after="0"/>
            </w:pPr>
            <w:r/>
            <w:r>
              <w:rPr>
                <w:b w:val="0"/>
                <w:sz w:val="18"/>
              </w:rPr>
              <w:t>Must</w:t>
            </w:r>
          </w:p>
        </w:tc>
        <w:tc>
          <w:tcPr>
            <w:tcW w:type="dxa" w:w="2736"/>
          </w:tcPr>
          <w:p>
            <w:pPr>
              <w:spacing w:after="0"/>
            </w:pPr>
            <w:r/>
            <w:r>
              <w:rPr>
                <w:b w:val="0"/>
                <w:sz w:val="18"/>
              </w:rPr>
              <w:t>Valuation not blocked; flag visible to SR</w:t>
            </w:r>
          </w:p>
        </w:tc>
      </w:tr>
      <w:tr>
        <w:tc>
          <w:tcPr>
            <w:tcW w:type="dxa" w:w="1440"/>
          </w:tcPr>
          <w:p>
            <w:pPr>
              <w:spacing w:after="0"/>
            </w:pPr>
            <w:r/>
            <w:r>
              <w:rPr>
                <w:b w:val="0"/>
                <w:sz w:val="18"/>
              </w:rPr>
              <w:t>FB-GVC-002</w:t>
            </w:r>
          </w:p>
        </w:tc>
        <w:tc>
          <w:tcPr>
            <w:tcW w:type="dxa" w:w="5184"/>
          </w:tcPr>
          <w:p>
            <w:pPr>
              <w:spacing w:after="0"/>
            </w:pPr>
            <w:r/>
            <w:r>
              <w:rPr>
                <w:b w:val="0"/>
                <w:sz w:val="18"/>
              </w:rPr>
              <w:t>Parcel not found / outside village: show bilingual guidance to correct identifiers; allow manual area with reason</w:t>
            </w:r>
          </w:p>
        </w:tc>
        <w:tc>
          <w:tcPr>
            <w:tcW w:type="dxa" w:w="864"/>
          </w:tcPr>
          <w:p>
            <w:pPr>
              <w:spacing w:after="0"/>
            </w:pPr>
            <w:r/>
            <w:r>
              <w:rPr>
                <w:b w:val="0"/>
                <w:sz w:val="18"/>
              </w:rPr>
              <w:t>Must</w:t>
            </w:r>
          </w:p>
        </w:tc>
        <w:tc>
          <w:tcPr>
            <w:tcW w:type="dxa" w:w="2736"/>
          </w:tcPr>
          <w:p>
            <w:pPr>
              <w:spacing w:after="0"/>
            </w:pPr>
            <w:r/>
            <w:r>
              <w:rPr>
                <w:b w:val="0"/>
                <w:sz w:val="18"/>
              </w:rPr>
              <w:t>FR-GIS-002</w:t>
            </w:r>
          </w:p>
        </w:tc>
      </w:tr>
      <w:tr>
        <w:tc>
          <w:tcPr>
            <w:tcW w:type="dxa" w:w="1440"/>
          </w:tcPr>
          <w:p>
            <w:pPr>
              <w:spacing w:after="0"/>
            </w:pPr>
            <w:r/>
            <w:r>
              <w:rPr>
                <w:b w:val="0"/>
                <w:sz w:val="18"/>
              </w:rPr>
              <w:t>FB-GVC-003</w:t>
            </w:r>
          </w:p>
        </w:tc>
        <w:tc>
          <w:tcPr>
            <w:tcW w:type="dxa" w:w="5184"/>
          </w:tcPr>
          <w:p>
            <w:pPr>
              <w:spacing w:after="0"/>
            </w:pPr>
            <w:r/>
            <w:r>
              <w:rPr>
                <w:b w:val="0"/>
                <w:sz w:val="18"/>
              </w:rPr>
              <w:t>Rate not available: never show blank or zero market value; show "Rate not available", log rate-gap and route per FR-GVC-015</w:t>
            </w:r>
          </w:p>
        </w:tc>
        <w:tc>
          <w:tcPr>
            <w:tcW w:type="dxa" w:w="864"/>
          </w:tcPr>
          <w:p>
            <w:pPr>
              <w:spacing w:after="0"/>
            </w:pPr>
            <w:r/>
            <w:r>
              <w:rPr>
                <w:b w:val="0"/>
                <w:sz w:val="18"/>
              </w:rPr>
              <w:t>Must</w:t>
            </w:r>
          </w:p>
        </w:tc>
        <w:tc>
          <w:tcPr>
            <w:tcW w:type="dxa" w:w="2736"/>
          </w:tcPr>
          <w:p>
            <w:pPr>
              <w:spacing w:after="0"/>
            </w:pPr>
            <w:r/>
            <w:r>
              <w:rPr>
                <w:b w:val="0"/>
                <w:sz w:val="18"/>
              </w:rPr>
              <w:t>No blank value</w:t>
            </w:r>
          </w:p>
        </w:tc>
      </w:tr>
      <w:tr>
        <w:tc>
          <w:tcPr>
            <w:tcW w:type="dxa" w:w="1440"/>
          </w:tcPr>
          <w:p>
            <w:pPr>
              <w:spacing w:after="0"/>
            </w:pPr>
            <w:r/>
            <w:r>
              <w:rPr>
                <w:b w:val="0"/>
                <w:sz w:val="18"/>
              </w:rPr>
              <w:t>FB-GVC-004</w:t>
            </w:r>
          </w:p>
        </w:tc>
        <w:tc>
          <w:tcPr>
            <w:tcW w:type="dxa" w:w="5184"/>
          </w:tcPr>
          <w:p>
            <w:pPr>
              <w:spacing w:after="0"/>
            </w:pPr>
            <w:r/>
            <w:r>
              <w:rPr>
                <w:b w:val="0"/>
                <w:sz w:val="18"/>
              </w:rPr>
              <w:t>Fee engine failure: retain valuation, show retry, keep Save disabled until valid duty / fee returned</w:t>
            </w:r>
          </w:p>
        </w:tc>
        <w:tc>
          <w:tcPr>
            <w:tcW w:type="dxa" w:w="864"/>
          </w:tcPr>
          <w:p>
            <w:pPr>
              <w:spacing w:after="0"/>
            </w:pPr>
            <w:r/>
            <w:r>
              <w:rPr>
                <w:b w:val="0"/>
                <w:sz w:val="18"/>
              </w:rPr>
              <w:t>Must</w:t>
            </w:r>
          </w:p>
        </w:tc>
        <w:tc>
          <w:tcPr>
            <w:tcW w:type="dxa" w:w="2736"/>
          </w:tcPr>
          <w:p>
            <w:pPr>
              <w:spacing w:after="0"/>
            </w:pPr>
            <w:r/>
            <w:r>
              <w:rPr>
                <w:b w:val="0"/>
                <w:sz w:val="18"/>
              </w:rPr>
              <w:t>No zero-fee submission</w:t>
            </w:r>
          </w:p>
        </w:tc>
      </w:tr>
      <w:tr>
        <w:tc>
          <w:tcPr>
            <w:tcW w:type="dxa" w:w="1440"/>
          </w:tcPr>
          <w:p>
            <w:pPr>
              <w:spacing w:after="0"/>
            </w:pPr>
            <w:r/>
            <w:r>
              <w:rPr>
                <w:b w:val="0"/>
                <w:sz w:val="18"/>
              </w:rPr>
              <w:t>FB-GVC-005</w:t>
            </w:r>
          </w:p>
        </w:tc>
        <w:tc>
          <w:tcPr>
            <w:tcW w:type="dxa" w:w="5184"/>
          </w:tcPr>
          <w:p>
            <w:pPr>
              <w:spacing w:after="0"/>
            </w:pPr>
            <w:r/>
            <w:r>
              <w:rPr>
                <w:b w:val="0"/>
                <w:sz w:val="18"/>
              </w:rPr>
              <w:t>Sec. 45-A payment timeout: poll gateway, lock duplicate payment; release document only on confirmed payment</w:t>
            </w:r>
          </w:p>
        </w:tc>
        <w:tc>
          <w:tcPr>
            <w:tcW w:type="dxa" w:w="864"/>
          </w:tcPr>
          <w:p>
            <w:pPr>
              <w:spacing w:after="0"/>
            </w:pPr>
            <w:r/>
            <w:r>
              <w:rPr>
                <w:b w:val="0"/>
                <w:sz w:val="18"/>
              </w:rPr>
              <w:t>Must</w:t>
            </w:r>
          </w:p>
        </w:tc>
        <w:tc>
          <w:tcPr>
            <w:tcW w:type="dxa" w:w="2736"/>
          </w:tcPr>
          <w:p>
            <w:pPr>
              <w:spacing w:after="0"/>
            </w:pPr>
            <w:r/>
            <w:r>
              <w:rPr>
                <w:b w:val="0"/>
                <w:sz w:val="18"/>
              </w:rPr>
              <w:t>No stuck or double payment</w:t>
            </w:r>
          </w:p>
        </w:tc>
      </w:tr>
      <w:tr>
        <w:tc>
          <w:tcPr>
            <w:tcW w:type="dxa" w:w="1440"/>
          </w:tcPr>
          <w:p>
            <w:pPr>
              <w:spacing w:after="0"/>
            </w:pPr>
            <w:r/>
            <w:r>
              <w:rPr>
                <w:b w:val="0"/>
                <w:sz w:val="18"/>
              </w:rPr>
              <w:t>FB-GVC-006</w:t>
            </w:r>
          </w:p>
        </w:tc>
        <w:tc>
          <w:tcPr>
            <w:tcW w:type="dxa" w:w="5184"/>
          </w:tcPr>
          <w:p>
            <w:pPr>
              <w:spacing w:after="0"/>
            </w:pPr>
            <w:r/>
            <w:r>
              <w:rPr>
                <w:b w:val="0"/>
                <w:sz w:val="18"/>
              </w:rPr>
              <w:t>Notification gateway delay: queue and retry; statutory timers (90 / 60 days) run from order date regardless of delivery</w:t>
            </w:r>
          </w:p>
        </w:tc>
        <w:tc>
          <w:tcPr>
            <w:tcW w:type="dxa" w:w="864"/>
          </w:tcPr>
          <w:p>
            <w:pPr>
              <w:spacing w:after="0"/>
            </w:pPr>
            <w:r/>
            <w:r>
              <w:rPr>
                <w:b w:val="0"/>
                <w:sz w:val="18"/>
              </w:rPr>
              <w:t>Must</w:t>
            </w:r>
          </w:p>
        </w:tc>
        <w:tc>
          <w:tcPr>
            <w:tcW w:type="dxa" w:w="2736"/>
          </w:tcPr>
          <w:p>
            <w:pPr>
              <w:spacing w:after="0"/>
            </w:pPr>
            <w:r/>
            <w:r>
              <w:rPr>
                <w:b w:val="0"/>
                <w:sz w:val="18"/>
              </w:rPr>
              <w:t>Workflow continues</w:t>
            </w:r>
          </w:p>
        </w:tc>
      </w:tr>
    </w:tbl>
    <w:p/>
    <w:p>
      <w:pPr>
        <w:pStyle w:val="Heading2"/>
      </w:pPr>
      <w:r>
        <w:t>12. Training and change management</w:t>
      </w:r>
    </w:p>
    <w:p>
      <w:pPr/>
      <w:r>
        <w:t>Moving from Kaveri 2.0 valuation to GIS-based valuation and a digitised Sec. 45-A workflow needs structured change management for department staff and citizens.</w:t>
      </w:r>
    </w:p>
    <w:p>
      <w:pPr>
        <w:pStyle w:val="Heading3"/>
      </w:pPr>
      <w:r>
        <w:t>12.1 Target audience</w:t>
      </w:r>
    </w:p>
    <w:p>
      <w:pPr/>
      <w:r>
        <w:t>Sub-Registrars, DEOs, District Registrars / Deputy Commissioners, Regional Commissioner offices, valuation / GIS administrators and IT Helpdesk.</w:t>
      </w:r>
    </w:p>
    <w:p>
      <w:pPr>
        <w:pStyle w:val="Heading3"/>
      </w:pPr>
      <w:r>
        <w:t>12.2 Training delivery</w:t>
      </w:r>
    </w:p>
    <w:p>
      <w:pPr>
        <w:pStyle w:val="ListBullet"/>
      </w:pPr>
      <w:r>
        <w:t>Role-based workshops on GIS lookup, manual-area fallback, reading the valuation breakup and SR send-back / referral decisions.</w:t>
      </w:r>
    </w:p>
    <w:p>
      <w:pPr>
        <w:pStyle w:val="ListBullet"/>
      </w:pPr>
      <w:r>
        <w:t>DC and appellate training on the Sec. 45-A workbench, hearings, orders, interest and refunds.</w:t>
      </w:r>
    </w:p>
    <w:p>
      <w:pPr>
        <w:pStyle w:val="ListBullet"/>
      </w:pPr>
      <w:r>
        <w:t>SOPs, quick-reference cards and video tutorials in English and Kannada.</w:t>
      </w:r>
    </w:p>
    <w:p>
      <w:pPr>
        <w:pStyle w:val="Heading3"/>
      </w:pPr>
      <w:r>
        <w:t>12.3 Citizen change management</w:t>
      </w:r>
    </w:p>
    <w:p>
      <w:pPr/>
      <w:r>
        <w:t>In-screen help explaining guideline value, the higher-of rule, the map and what to do when the parcel is not found; public guideline value search to set expectations before registration.</w:t>
      </w:r>
    </w:p>
    <w:p>
      <w:pPr>
        <w:pStyle w:val="Heading3"/>
      </w:pPr>
      <w:r>
        <w:t>12.4 Post-Go-Live support</w:t>
      </w:r>
    </w:p>
    <w:p>
      <w:pPr/>
      <w:r>
        <w:t>Dedicated hyper-care for 90 days after launch, focused on GIS match issues, rate gaps and fee-engine hand-off.</w:t>
      </w:r>
    </w:p>
    <w:p>
      <w:pPr>
        <w:pStyle w:val="Heading2"/>
      </w:pPr>
      <w:r>
        <w:t>Appendix A — References</w:t>
      </w:r>
    </w:p>
    <w:p>
      <w:pPr>
        <w:pStyle w:val="ListBullet"/>
      </w:pPr>
      <w:r>
        <w:t>The Karnataka Stamp Act, 1957 (Secs. 2(ac), 2(mm), 3, 27, 45-A, 45-B and Schedule)</w:t>
      </w:r>
    </w:p>
    <w:p>
      <w:pPr>
        <w:pStyle w:val="ListBullet"/>
      </w:pPr>
      <w:r>
        <w:t>Karnataka Stamp (Prevention of Undervaluation of Instruments) Rules, 1977 (GSR 81 / RD 73 EST 74) and amendment RD 264 MUNOMU 99</w:t>
      </w:r>
    </w:p>
    <w:p>
      <w:pPr>
        <w:pStyle w:val="ListBullet"/>
      </w:pPr>
      <w:r>
        <w:t>Karnataka Registration Rules — Rules 13–15</w:t>
      </w:r>
    </w:p>
    <w:p>
      <w:pPr>
        <w:pStyle w:val="ListBullet"/>
      </w:pPr>
      <w:r>
        <w:t>BRD-K3-CVC-GVF-001 — Valuation Module (CVC) — Guidance Value Fixation</w:t>
      </w:r>
    </w:p>
    <w:p>
      <w:pPr>
        <w:pStyle w:val="ListBullet"/>
      </w:pPr>
      <w:r>
        <w:t>Consolidated_Requirement_Discussions_25082026_to_11092026 — Section 4 (01-09-2026); Document_Registration_requirement_01092026_v2.docx</w:t>
      </w:r>
    </w:p>
    <w:p>
      <w:pPr>
        <w:pStyle w:val="ListBullet"/>
      </w:pPr>
      <w:r>
        <w:t>Process diagrams: Process_A_Guideline_Value_Calculation.drawio, Process_B_Sec45A_Undervaluation.drawio</w:t>
      </w:r>
    </w:p>
    <w:p>
      <w:pPr>
        <w:pStyle w:val="ListBullet"/>
      </w:pPr>
      <w:r>
        <w:t>OWASP Top 10 — https://owasp.org/ (VAPT scope)</w:t>
      </w:r>
    </w:p>
    <w:p>
      <w:pPr>
        <w:pStyle w:val="Heading2"/>
      </w:pPr>
      <w:r>
        <w:t>Acceptance and sign-off of BRD</w:t>
      </w:r>
    </w:p>
    <w:tbl>
      <w:tblPr>
        <w:tblStyle w:val="TableGrid"/>
        <w:tblW w:type="auto" w:w="0"/>
        <w:tblLook w:firstColumn="1" w:firstRow="1" w:lastColumn="0" w:lastRow="0" w:noHBand="0" w:noVBand="1" w:val="04A0"/>
      </w:tblPr>
      <w:tblGrid>
        <w:gridCol w:w="3408"/>
        <w:gridCol w:w="3408"/>
        <w:gridCol w:w="3408"/>
      </w:tblGrid>
      <w:tr>
        <w:tc>
          <w:tcPr>
            <w:tcW w:type="dxa" w:w="3168"/>
            <w:shd w:val="clear" w:color="auto" w:fill="D9E2F3"/>
          </w:tcPr>
          <w:p>
            <w:pPr>
              <w:spacing w:after="0"/>
            </w:pPr>
            <w:r/>
            <w:r>
              <w:rPr>
                <w:b/>
                <w:sz w:val="18"/>
              </w:rPr>
              <w:t>Role</w:t>
            </w:r>
          </w:p>
        </w:tc>
        <w:tc>
          <w:tcPr>
            <w:tcW w:type="dxa" w:w="3168"/>
            <w:shd w:val="clear" w:color="auto" w:fill="D9E2F3"/>
          </w:tcPr>
          <w:p>
            <w:pPr>
              <w:spacing w:after="0"/>
            </w:pPr>
            <w:r/>
            <w:r>
              <w:rPr>
                <w:b/>
                <w:sz w:val="18"/>
              </w:rPr>
              <w:t>Name</w:t>
            </w:r>
          </w:p>
        </w:tc>
        <w:tc>
          <w:tcPr>
            <w:tcW w:type="dxa" w:w="3024"/>
            <w:shd w:val="clear" w:color="auto" w:fill="D9E2F3"/>
          </w:tcPr>
          <w:p>
            <w:pPr>
              <w:spacing w:after="0"/>
            </w:pPr>
            <w:r/>
            <w:r>
              <w:rPr>
                <w:b/>
                <w:sz w:val="18"/>
              </w:rPr>
              <w:t>Signature / Date</w:t>
            </w:r>
          </w:p>
        </w:tc>
      </w:tr>
      <w:tr>
        <w:tc>
          <w:tcPr>
            <w:tcW w:type="dxa" w:w="3168"/>
          </w:tcPr>
          <w:p>
            <w:pPr>
              <w:spacing w:after="0"/>
            </w:pPr>
            <w:r/>
            <w:r>
              <w:rPr>
                <w:b w:val="0"/>
                <w:sz w:val="18"/>
              </w:rPr>
              <w:t>Product Owner</w:t>
            </w:r>
          </w:p>
        </w:tc>
        <w:tc>
          <w:tcPr>
            <w:tcW w:type="dxa" w:w="3168"/>
          </w:tcPr>
          <w:p>
            <w:pPr>
              <w:spacing w:after="0"/>
            </w:pPr>
            <w:r/>
            <w:r>
              <w:rPr>
                <w:b w:val="0"/>
                <w:sz w:val="18"/>
              </w:rPr>
            </w:r>
          </w:p>
        </w:tc>
        <w:tc>
          <w:tcPr>
            <w:tcW w:type="dxa" w:w="3024"/>
          </w:tcPr>
          <w:p>
            <w:pPr>
              <w:spacing w:after="0"/>
            </w:pPr>
            <w:r/>
            <w:r>
              <w:rPr>
                <w:b w:val="0"/>
                <w:sz w:val="18"/>
              </w:rPr>
            </w:r>
          </w:p>
        </w:tc>
      </w:tr>
      <w:tr>
        <w:tc>
          <w:tcPr>
            <w:tcW w:type="dxa" w:w="3168"/>
          </w:tcPr>
          <w:p>
            <w:pPr>
              <w:spacing w:after="0"/>
            </w:pPr>
            <w:r/>
            <w:r>
              <w:rPr>
                <w:b w:val="0"/>
                <w:sz w:val="18"/>
              </w:rPr>
              <w:t>Domain Expert (DIGR — Valuation)</w:t>
            </w:r>
          </w:p>
        </w:tc>
        <w:tc>
          <w:tcPr>
            <w:tcW w:type="dxa" w:w="3168"/>
          </w:tcPr>
          <w:p>
            <w:pPr>
              <w:spacing w:after="0"/>
            </w:pPr>
            <w:r/>
            <w:r>
              <w:rPr>
                <w:b w:val="0"/>
                <w:sz w:val="18"/>
              </w:rPr>
            </w:r>
          </w:p>
        </w:tc>
        <w:tc>
          <w:tcPr>
            <w:tcW w:type="dxa" w:w="3024"/>
          </w:tcPr>
          <w:p>
            <w:pPr>
              <w:spacing w:after="0"/>
            </w:pPr>
            <w:r/>
            <w:r>
              <w:rPr>
                <w:b w:val="0"/>
                <w:sz w:val="18"/>
              </w:rPr>
            </w:r>
          </w:p>
        </w:tc>
      </w:tr>
      <w:tr>
        <w:tc>
          <w:tcPr>
            <w:tcW w:type="dxa" w:w="3168"/>
          </w:tcPr>
          <w:p>
            <w:pPr>
              <w:spacing w:after="0"/>
            </w:pPr>
            <w:r/>
            <w:r>
              <w:rPr>
                <w:b w:val="0"/>
                <w:sz w:val="18"/>
              </w:rPr>
              <w:t>Business Analyst</w:t>
            </w:r>
          </w:p>
        </w:tc>
        <w:tc>
          <w:tcPr>
            <w:tcW w:type="dxa" w:w="3168"/>
          </w:tcPr>
          <w:p>
            <w:pPr>
              <w:spacing w:after="0"/>
            </w:pPr>
            <w:r/>
            <w:r>
              <w:rPr>
                <w:b w:val="0"/>
                <w:sz w:val="18"/>
              </w:rPr>
            </w:r>
          </w:p>
        </w:tc>
        <w:tc>
          <w:tcPr>
            <w:tcW w:type="dxa" w:w="3024"/>
          </w:tcPr>
          <w:p>
            <w:pPr>
              <w:spacing w:after="0"/>
            </w:pPr>
            <w:r/>
            <w:r>
              <w:rPr>
                <w:b w:val="0"/>
                <w:sz w:val="18"/>
              </w:rPr>
            </w:r>
          </w:p>
        </w:tc>
      </w:tr>
    </w:tbl>
    <w:p/>
    <w:sectPr w:rsidR="000D1675" w:rsidRPr="00075B1D" w:rsidSect="000A13D6">
      <w:footerReference w:type="default" r:id="rId30"/>
      <w:headerReference w:type="default" r:id="rId11"/>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804" w:rsidRDefault="00682804" w:rsidP="00EE31B5">
      <w:pPr>
        <w:spacing w:after="0" w:line="240" w:lineRule="auto"/>
      </w:pPr>
      <w:r>
        <w:separator/>
      </w:r>
    </w:p>
  </w:endnote>
  <w:endnote w:type="continuationSeparator" w:id="0">
    <w:p w:rsidR="00682804" w:rsidRDefault="00682804"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B8206D">
          <w:rPr>
            <w:noProof/>
          </w:rPr>
          <w:t>20</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804" w:rsidRDefault="00682804" w:rsidP="00EE31B5">
      <w:pPr>
        <w:spacing w:after="0" w:line="240" w:lineRule="auto"/>
      </w:pPr>
      <w:r>
        <w:separator/>
      </w:r>
    </w:p>
  </w:footnote>
  <w:footnote w:type="continuationSeparator" w:id="0">
    <w:p w:rsidR="00682804" w:rsidRDefault="00682804"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w:t>
    </w:r>
    <w:proofErr w:type="gramStart"/>
    <w:r>
      <w:rPr>
        <w:rFonts w:ascii="Consolas" w:hAnsi="Consolas"/>
        <w:color w:val="141414"/>
        <w:sz w:val="18"/>
        <w:szCs w:val="18"/>
        <w:shd w:val="clear" w:color="auto" w:fill="FCFCFC"/>
      </w:rPr>
      <w:t>BRD  |</w:t>
    </w:r>
    <w:proofErr w:type="gramEnd"/>
    <w:r>
      <w:rPr>
        <w:rFonts w:ascii="Consolas" w:hAnsi="Consolas"/>
        <w:color w:val="141414"/>
        <w:sz w:val="18"/>
        <w:szCs w:val="18"/>
        <w:shd w:val="clear" w:color="auto" w:fill="FCFCFC"/>
      </w:rPr>
      <w:t xml:space="preserve"> Marriage Registration Module</w:t>
    </w:r>
  </w:p>
  <w:p w:rsidR="00EE31B5" w:rsidRDefault="00EE3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Kaveri 3.0 | BRD  | Guideline Value Calculation &amp; GIS Valuation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0391CD1C"/>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0700334E"/>
    <w:multiLevelType w:val="hybridMultilevel"/>
    <w:tmpl w:val="8FF2DFF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F795640"/>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CE07DF4"/>
    <w:multiLevelType w:val="hybridMultilevel"/>
    <w:tmpl w:val="4724AD1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3F6142C"/>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6"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406071C4"/>
    <w:multiLevelType w:val="hybridMultilevel"/>
    <w:tmpl w:val="284427A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505B70CC"/>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2."/>
      <w:lvlJc w:val="righ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B9740D"/>
    <w:multiLevelType w:val="hybridMultilevel"/>
    <w:tmpl w:val="773480D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7CD272F"/>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6"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E610C47"/>
    <w:multiLevelType w:val="hybridMultilevel"/>
    <w:tmpl w:val="C56C3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6B817F53"/>
    <w:multiLevelType w:val="hybridMultilevel"/>
    <w:tmpl w:val="BA6E994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2"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6E335B2"/>
    <w:multiLevelType w:val="hybridMultilevel"/>
    <w:tmpl w:val="467EC682"/>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7A000064"/>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7A00006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6" w15:restartNumberingAfterBreak="0">
    <w:nsid w:val="7A000066"/>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7A000067"/>
    <w:multiLevelType w:val="singleLevel"/>
    <w:tmpl w:val="47C4B64C"/>
    <w:lvl w:ilvl="0">
      <w:start w:val="1"/>
      <w:numFmt w:val="decimal"/>
      <w:lvlText w:val="%1."/>
      <w:lvlJc w:val="left"/>
      <w:pPr>
        <w:tabs>
          <w:tab w:val="num" w:pos="360"/>
        </w:tabs>
        <w:ind w:left="36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4"/>
    <w:lvlOverride w:ilvl="0">
      <w:startOverride w:val="1"/>
    </w:lvlOverride>
  </w:num>
  <w:num w:numId="9">
    <w:abstractNumId w:val="26"/>
  </w:num>
  <w:num w:numId="10">
    <w:abstractNumId w:val="12"/>
  </w:num>
  <w:num w:numId="11">
    <w:abstractNumId w:val="13"/>
  </w:num>
  <w:num w:numId="12">
    <w:abstractNumId w:val="6"/>
  </w:num>
  <w:num w:numId="13">
    <w:abstractNumId w:val="18"/>
  </w:num>
  <w:num w:numId="14">
    <w:abstractNumId w:val="25"/>
  </w:num>
  <w:num w:numId="15">
    <w:abstractNumId w:val="28"/>
  </w:num>
  <w:num w:numId="16">
    <w:abstractNumId w:val="17"/>
  </w:num>
  <w:num w:numId="17">
    <w:abstractNumId w:val="8"/>
  </w:num>
  <w:num w:numId="18">
    <w:abstractNumId w:val="16"/>
  </w:num>
  <w:num w:numId="19">
    <w:abstractNumId w:val="22"/>
  </w:num>
  <w:num w:numId="20">
    <w:abstractNumId w:val="31"/>
  </w:num>
  <w:num w:numId="21">
    <w:abstractNumId w:val="23"/>
  </w:num>
  <w:num w:numId="22">
    <w:abstractNumId w:val="15"/>
  </w:num>
  <w:num w:numId="23">
    <w:abstractNumId w:val="32"/>
  </w:num>
  <w:num w:numId="24">
    <w:abstractNumId w:val="9"/>
  </w:num>
  <w:num w:numId="25">
    <w:abstractNumId w:val="27"/>
  </w:num>
  <w:num w:numId="26">
    <w:abstractNumId w:val="30"/>
  </w:num>
  <w:num w:numId="27">
    <w:abstractNumId w:val="34"/>
  </w:num>
  <w:num w:numId="28">
    <w:abstractNumId w:val="35"/>
  </w:num>
  <w:num w:numId="29">
    <w:abstractNumId w:val="36"/>
  </w:num>
  <w:num w:numId="30">
    <w:abstractNumId w:val="7"/>
  </w:num>
  <w:num w:numId="31">
    <w:abstractNumId w:val="37"/>
  </w:num>
  <w:num w:numId="32">
    <w:abstractNumId w:val="29"/>
  </w:num>
  <w:num w:numId="33">
    <w:abstractNumId w:val="33"/>
  </w:num>
  <w:num w:numId="34">
    <w:abstractNumId w:val="11"/>
  </w:num>
  <w:num w:numId="35">
    <w:abstractNumId w:val="19"/>
  </w:num>
  <w:num w:numId="36">
    <w:abstractNumId w:val="21"/>
  </w:num>
  <w:num w:numId="37">
    <w:abstractNumId w:val="10"/>
  </w:num>
  <w:num w:numId="38">
    <w:abstractNumId w:val="14"/>
  </w:num>
  <w:num w:numId="39">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85104"/>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2804"/>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2A5C"/>
    <w:rsid w:val="00886112"/>
    <w:rsid w:val="0088777F"/>
    <w:rsid w:val="0089500F"/>
    <w:rsid w:val="008A18CF"/>
    <w:rsid w:val="008A3700"/>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206D"/>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CE7EEE"/>
    <w:rsid w:val="00D27473"/>
    <w:rsid w:val="00D43EDD"/>
    <w:rsid w:val="00D46A50"/>
    <w:rsid w:val="00D52BE7"/>
    <w:rsid w:val="00D54108"/>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251CE"/>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30" Type="http://schemas.openxmlformats.org/officeDocument/2006/relationships/footer" Target="footer1.xml"/><Relationship Id="rId11" Type="http://schemas.openxmlformats.org/officeDocument/2006/relationships/header" Target="header4.xml"/><Relationship Id="rId12" Type="http://schemas.openxmlformats.org/officeDocument/2006/relationships/image" Target="media/image20.png"/><Relationship Id="rId13"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39E76-472D-4D4C-873F-B55B663B9A3A}">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746</TotalTime>
  <Pages>1</Pages>
  <Words>27059</Words>
  <Characters>154239</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Guideline Value Calculation and GIS Valuation</dc:title>
  <dc:subject>Kaveri 3.0</dc:subject>
  <dc:creator>Nandha Selladurai</dc:creator>
  <cp:keywords/>
  <dc:description>generated by python-docx</dc:description>
  <cp:lastModifiedBy>Administrator</cp:lastModifiedBy>
  <cp:revision>232</cp:revision>
  <cp:lastPrinted>2026-09-01T13:14:00Z</cp:lastPrinted>
  <dcterms:created xsi:type="dcterms:W3CDTF">2026-08-24T14:31:00Z</dcterms:created>
  <dcterms:modified xsi:type="dcterms:W3CDTF">2026-09-09T09:52:00Z</dcterms:modified>
  <cp:category/>
</cp:coreProperties>
</file>