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1.0</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05-10-2026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bl>
    <w:p w:rsidR="00CA2F37" w:rsidRDefault="00CA2F37"/>
    <w:p w:rsidR="00CA2F37" w:rsidRDefault="00047D12">
      <w:pPr>
        <w:pStyle w:val="Heading1"/>
      </w:pPr>
      <w:r>
        <w:rPr>
          <w:color w:val="1F3A5F"/>
        </w:rPr>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lastRenderedPageBreak/>
        <w:t>1.4 Requirement IDs</w:t>
      </w:r>
    </w:p>
    <w:p w:rsidR="00CA2F37" w:rsidRDefault="00047D12">
      <w:pPr>
        <w:spacing w:after="120"/>
      </w:pPr>
      <w:r>
        <w:t>Every requirement has a unique ID made of the module code (UM), an activity code and a running number — for example UM-TIN-02 is the second Transfer In requirement.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TIN</w:t>
            </w:r>
          </w:p>
        </w:tc>
        <w:tc>
          <w:tcPr>
            <w:tcW w:w="8220" w:type="dxa"/>
          </w:tcPr>
          <w:p w:rsidR="00CA2F37" w:rsidRDefault="00047D12">
            <w:r>
              <w:rPr>
                <w:sz w:val="20"/>
              </w:rPr>
              <w:t>4.8 Transfer In</w:t>
            </w:r>
          </w:p>
        </w:tc>
      </w:tr>
      <w:tr w:rsidR="00CA2F37">
        <w:trPr>
          <w:jc w:val="center"/>
        </w:trPr>
        <w:tc>
          <w:tcPr>
            <w:tcW w:w="1417" w:type="dxa"/>
          </w:tcPr>
          <w:p w:rsidR="00CA2F37" w:rsidRDefault="00047D12">
            <w:r>
              <w:rPr>
                <w:b/>
                <w:sz w:val="20"/>
              </w:rPr>
              <w:t>REL</w:t>
            </w:r>
          </w:p>
        </w:tc>
        <w:tc>
          <w:tcPr>
            <w:tcW w:w="8220" w:type="dxa"/>
          </w:tcPr>
          <w:p w:rsidR="00CA2F37" w:rsidRDefault="00047D12">
            <w:r>
              <w:rPr>
                <w:sz w:val="20"/>
              </w:rPr>
              <w:t>4.9 Relieving / Transfer Out</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4.10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4.11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4.12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4.13 Creating / managing reporting hierarchies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4.14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4.15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t>Sign-in for every type of user, post selection, additional charge, lost mobile and change of mobile or email</w:t>
      </w:r>
    </w:p>
    <w:p w:rsidR="00CA2F37" w:rsidRDefault="00047D12">
      <w:pPr>
        <w:pStyle w:val="ListBullet"/>
      </w:pPr>
      <w:r>
        <w:t>Transfer In, Relieving / Transfer Out,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CA2F37" w:rsidRDefault="00047D12">
      <w:pPr>
        <w:pStyle w:val="Heading1"/>
      </w:pPr>
      <w:r>
        <w:rPr>
          <w:color w:val="1F3A5F"/>
        </w:rPr>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lastRenderedPageBreak/>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Application Admin is one of the roles under the DSR Officer user type. A DSR Officer with this role maintains roles, posts, sanctioned posts, offices and hierarchies.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t>UM-CIT-03</w:t>
            </w:r>
          </w:p>
        </w:tc>
        <w:tc>
          <w:tcPr>
            <w:tcW w:w="8164" w:type="dxa"/>
          </w:tcPr>
          <w:p w:rsidR="00CA2F37" w:rsidRDefault="00047D12">
            <w:r>
              <w:rPr>
                <w:sz w:val="20"/>
              </w:rPr>
              <w:t>The citizen enters an email address and a mobile number.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must be unique. The same mobile or email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and verified</w:t>
            </w:r>
            <w:r>
              <w:rPr>
                <w:sz w:val="20"/>
              </w:rPr>
              <w:t>. No email and no security questions are needed.</w:t>
            </w:r>
          </w:p>
        </w:tc>
      </w:tr>
      <w:tr w:rsidR="00CA2F37">
        <w:trPr>
          <w:jc w:val="center"/>
        </w:trPr>
        <w:tc>
          <w:tcPr>
            <w:tcW w:w="1474" w:type="dxa"/>
          </w:tcPr>
          <w:p w:rsidR="00CA2F37" w:rsidRDefault="00047D12">
            <w:r>
              <w:rPr>
                <w:b/>
                <w:sz w:val="20"/>
              </w:rPr>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posting activity (Transfer In). When posts are given at creation, only posts with a vacanc</w:t>
            </w:r>
            <w:r w:rsidR="00196D5D">
              <w:rPr>
                <w:sz w:val="20"/>
              </w:rPr>
              <w:t>ies</w:t>
            </w:r>
            <w:r w:rsidR="00D3196E">
              <w:rPr>
                <w:sz w:val="20"/>
              </w:rPr>
              <w:t xml:space="preserve"> </w:t>
            </w:r>
            <w:r>
              <w:rPr>
                <w:sz w:val="20"/>
              </w:rPr>
              <w:t>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The administrator selects the Department and enters Employee ID or KGID, official email of that department, and mobile. The Username is Department Code + Employee ID / KGID (for example REV-12345).</w:t>
            </w:r>
          </w:p>
        </w:tc>
      </w:tr>
      <w:tr w:rsidR="00CA2F37">
        <w:trPr>
          <w:jc w:val="center"/>
        </w:trPr>
        <w:tc>
          <w:tcPr>
            <w:tcW w:w="1474" w:type="dxa"/>
          </w:tcPr>
          <w:p w:rsidR="00CA2F37" w:rsidRDefault="00047D12">
            <w:r>
              <w:rPr>
                <w:b/>
                <w:sz w:val="20"/>
              </w:rPr>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pPr>
        <w:pStyle w:val="Heading2"/>
        <w:rPr>
          <w:color w:val="1F3A5F"/>
        </w:rPr>
      </w:pPr>
    </w:p>
    <w:p w:rsidR="00CA2F37" w:rsidRDefault="00047D12">
      <w:pPr>
        <w:pStyle w:val="Heading2"/>
      </w:pPr>
      <w:r>
        <w:rPr>
          <w:color w:val="1F3A5F"/>
        </w:rPr>
        <w:t>4.6 Profile updates</w:t>
      </w:r>
    </w:p>
    <w:p w:rsidR="00CA2F37" w:rsidRDefault="00047D12">
      <w:pPr>
        <w:spacing w:after="120"/>
      </w:pPr>
      <w:r>
        <w:t>Users can update their own profile details after signing 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If that post is vacant, the next post below it may also be offered. Example: a Sub-Registrar at SRO 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Transfer In</w:t>
      </w:r>
    </w:p>
    <w:p w:rsidR="00CA2F37" w:rsidRDefault="00047D12">
      <w:pPr>
        <w:spacing w:after="120"/>
      </w:pPr>
      <w:r>
        <w:t>Transfer In is triggered from the IGR office by uploading the movement order. The superior then places the DSR Officer in a post that has a vacancy. This is also how a post is given to an officer who was created without one.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UM-TIN-01</w:t>
            </w:r>
          </w:p>
        </w:tc>
        <w:tc>
          <w:tcPr>
            <w:tcW w:w="8164" w:type="dxa"/>
          </w:tcPr>
          <w:p w:rsidR="00CA2F37" w:rsidRDefault="00047D12">
            <w:r>
              <w:rPr>
                <w:sz w:val="20"/>
              </w:rPr>
              <w:t>A superior can place an officer only in offices under them, and only in posts that report directly to the superior's post.</w:t>
            </w:r>
          </w:p>
        </w:tc>
      </w:tr>
      <w:tr w:rsidR="00CA2F37">
        <w:trPr>
          <w:jc w:val="center"/>
        </w:trPr>
        <w:tc>
          <w:tcPr>
            <w:tcW w:w="1474" w:type="dxa"/>
          </w:tcPr>
          <w:p w:rsidR="00CA2F37" w:rsidRDefault="00047D12">
            <w:r>
              <w:rPr>
                <w:b/>
                <w:sz w:val="20"/>
              </w:rPr>
              <w:t>UM-TIN-02</w:t>
            </w:r>
          </w:p>
        </w:tc>
        <w:tc>
          <w:tcPr>
            <w:tcW w:w="8164" w:type="dxa"/>
          </w:tcPr>
          <w:p w:rsidR="00CA2F37" w:rsidRDefault="00047D12">
            <w:r>
              <w:rPr>
                <w:sz w:val="20"/>
              </w:rPr>
              <w:t>Transfer In is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UM-TIN-03</w:t>
            </w:r>
          </w:p>
        </w:tc>
        <w:tc>
          <w:tcPr>
            <w:tcW w:w="8164" w:type="dxa"/>
          </w:tcPr>
          <w:p w:rsidR="00CA2F37" w:rsidRDefault="00047D12">
            <w:r>
              <w:rPr>
                <w:sz w:val="20"/>
              </w:rPr>
              <w:t>The movement order uploaded by the IGR office is linked to the Transfer In. The Transfer Order / Reporting Order number is also required (with upload where available). No Joining Date is entered.</w:t>
            </w:r>
          </w:p>
        </w:tc>
      </w:tr>
      <w:tr w:rsidR="00CA2F37">
        <w:trPr>
          <w:jc w:val="center"/>
        </w:trPr>
        <w:tc>
          <w:tcPr>
            <w:tcW w:w="1474" w:type="dxa"/>
          </w:tcPr>
          <w:p w:rsidR="00CA2F37" w:rsidRDefault="00047D12">
            <w:r>
              <w:rPr>
                <w:b/>
                <w:sz w:val="20"/>
              </w:rPr>
              <w:t>UM-TIN-04</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UM-TIN-05</w:t>
            </w:r>
          </w:p>
        </w:tc>
        <w:tc>
          <w:tcPr>
            <w:tcW w:w="8164" w:type="dxa"/>
          </w:tcPr>
          <w:p w:rsidR="00CA2F37" w:rsidRDefault="00047D12">
            <w:r>
              <w:rPr>
                <w:sz w:val="20"/>
              </w:rPr>
              <w:t>A post whose holder is only on leave is not a vacancy.</w:t>
            </w:r>
          </w:p>
        </w:tc>
      </w:tr>
      <w:tr w:rsidR="00CA2F37">
        <w:trPr>
          <w:jc w:val="center"/>
        </w:trPr>
        <w:tc>
          <w:tcPr>
            <w:tcW w:w="1474" w:type="dxa"/>
          </w:tcPr>
          <w:p w:rsidR="00CA2F37" w:rsidRDefault="00047D12">
            <w:r>
              <w:rPr>
                <w:b/>
                <w:sz w:val="20"/>
              </w:rPr>
              <w:t>UM-TIN-06</w:t>
            </w:r>
          </w:p>
        </w:tc>
        <w:tc>
          <w:tcPr>
            <w:tcW w:w="8164" w:type="dxa"/>
          </w:tcPr>
          <w:p w:rsidR="00CA2F37" w:rsidRDefault="00047D12">
            <w:r>
              <w:rPr>
                <w:sz w:val="20"/>
              </w:rPr>
              <w:t>Transfer In is triggered from the IGR office. An authorised user at the IGR office uploads the movement order for the officer; only then can the superior carry out the Transfer In.</w:t>
            </w:r>
          </w:p>
        </w:tc>
      </w:tr>
    </w:tbl>
    <w:p w:rsidR="00CA2F37" w:rsidRDefault="00CA2F37"/>
    <w:p w:rsidR="00CA2F37" w:rsidRDefault="00047D12">
      <w:pPr>
        <w:pStyle w:val="Heading2"/>
      </w:pPr>
      <w:r>
        <w:rPr>
          <w:color w:val="1F3A5F"/>
        </w:rPr>
        <w:t>4.9 Relieving / Transfer Out</w:t>
      </w:r>
    </w:p>
    <w:p w:rsidR="00CA2F37" w:rsidRDefault="00047D12">
      <w:pPr>
        <w:spacing w:after="120"/>
      </w:pPr>
      <w:r>
        <w:t>Relieving is triggered from the IGR office by uploading the movement order. The superior then relieves the officer from one or more posts.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UM-REL-01</w:t>
            </w:r>
          </w:p>
        </w:tc>
        <w:tc>
          <w:tcPr>
            <w:tcW w:w="8164" w:type="dxa"/>
          </w:tcPr>
          <w:p w:rsidR="00CA2F37" w:rsidRDefault="00047D12">
            <w:r>
              <w:rPr>
                <w:sz w:val="20"/>
              </w:rPr>
              <w:t>A superior can relieve only officers in offices under them, holding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lastRenderedPageBreak/>
              <w:t>UM-REL-02</w:t>
            </w:r>
          </w:p>
        </w:tc>
        <w:tc>
          <w:tcPr>
            <w:tcW w:w="8164" w:type="dxa"/>
          </w:tcPr>
          <w:p w:rsidR="00CA2F37" w:rsidRDefault="00047D12">
            <w:r>
              <w:rPr>
                <w:sz w:val="20"/>
              </w:rPr>
              <w:t>The movement order uploaded by the IGR office is linked to the Relieving. Relieving Date, Relieving Order and Relieving Reason are also required. The reason must be one of: Deputation, Transfer, Suspension, Superannuation, Death.</w:t>
            </w:r>
          </w:p>
        </w:tc>
      </w:tr>
      <w:tr w:rsidR="00CA2F37">
        <w:trPr>
          <w:jc w:val="center"/>
        </w:trPr>
        <w:tc>
          <w:tcPr>
            <w:tcW w:w="1474" w:type="dxa"/>
          </w:tcPr>
          <w:p w:rsidR="00CA2F37" w:rsidRDefault="00047D12">
            <w:r>
              <w:rPr>
                <w:b/>
                <w:sz w:val="20"/>
              </w:rPr>
              <w:t>UM-REL-03</w:t>
            </w:r>
          </w:p>
        </w:tc>
        <w:tc>
          <w:tcPr>
            <w:tcW w:w="8164" w:type="dxa"/>
          </w:tcPr>
          <w:p w:rsidR="00CA2F37" w:rsidRDefault="00047D12">
            <w:r>
              <w:rPr>
                <w:sz w:val="20"/>
              </w:rPr>
              <w:t>The officer keeps the post until the end of the Relieving Date.</w:t>
            </w:r>
          </w:p>
        </w:tc>
      </w:tr>
      <w:tr w:rsidR="00CA2F37">
        <w:trPr>
          <w:jc w:val="center"/>
        </w:trPr>
        <w:tc>
          <w:tcPr>
            <w:tcW w:w="1474" w:type="dxa"/>
          </w:tcPr>
          <w:p w:rsidR="00CA2F37" w:rsidRDefault="00047D12">
            <w:r>
              <w:rPr>
                <w:b/>
                <w:sz w:val="20"/>
              </w:rPr>
              <w:t>UM-REL-04</w:t>
            </w:r>
          </w:p>
        </w:tc>
        <w:tc>
          <w:tcPr>
            <w:tcW w:w="8164" w:type="dxa"/>
          </w:tcPr>
          <w:p w:rsidR="00CA2F37" w:rsidRDefault="00047D12">
            <w:r>
              <w:rPr>
                <w:sz w:val="20"/>
              </w:rPr>
              <w:t>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UM-REL-05</w:t>
            </w:r>
          </w:p>
        </w:tc>
        <w:tc>
          <w:tcPr>
            <w:tcW w:w="8164" w:type="dxa"/>
          </w:tcPr>
          <w:p w:rsidR="00CA2F37" w:rsidRDefault="00047D12">
            <w:r>
              <w:rPr>
                <w:sz w:val="20"/>
              </w:rPr>
              <w:t>Any open session the officer has on that post is ended.</w:t>
            </w:r>
          </w:p>
        </w:tc>
      </w:tr>
      <w:tr w:rsidR="00CA2F37">
        <w:trPr>
          <w:jc w:val="center"/>
        </w:trPr>
        <w:tc>
          <w:tcPr>
            <w:tcW w:w="1474" w:type="dxa"/>
          </w:tcPr>
          <w:p w:rsidR="00CA2F37" w:rsidRDefault="00047D12">
            <w:r>
              <w:rPr>
                <w:b/>
                <w:sz w:val="20"/>
              </w:rPr>
              <w:t>UM-REL-06</w:t>
            </w:r>
          </w:p>
        </w:tc>
        <w:tc>
          <w:tcPr>
            <w:tcW w:w="8164" w:type="dxa"/>
          </w:tcPr>
          <w:p w:rsidR="00CA2F37" w:rsidRDefault="00047D12">
            <w:r>
              <w:rPr>
                <w:sz w:val="20"/>
              </w:rPr>
              <w:t>If the officer has no post left, they cannot sign in until a new post is given.</w:t>
            </w:r>
          </w:p>
        </w:tc>
      </w:tr>
      <w:tr w:rsidR="00CA2F37">
        <w:trPr>
          <w:jc w:val="center"/>
        </w:trPr>
        <w:tc>
          <w:tcPr>
            <w:tcW w:w="1474" w:type="dxa"/>
          </w:tcPr>
          <w:p w:rsidR="00CA2F37" w:rsidRDefault="00047D12">
            <w:r>
              <w:rPr>
                <w:b/>
                <w:sz w:val="20"/>
              </w:rPr>
              <w:t>UM-REL-07</w:t>
            </w:r>
          </w:p>
        </w:tc>
        <w:tc>
          <w:tcPr>
            <w:tcW w:w="8164" w:type="dxa"/>
          </w:tcPr>
          <w:p w:rsidR="00CA2F37" w:rsidRDefault="00047D12">
            <w:r>
              <w:rPr>
                <w:sz w:val="20"/>
              </w:rPr>
              <w:t>Relieving / Transfer Out is triggered from the IGR office. An authorised user at the IGR office uploads the movement order for the officer; only then can the superior relieve the officer.</w:t>
            </w:r>
          </w:p>
        </w:tc>
      </w:tr>
    </w:tbl>
    <w:p w:rsidR="00CA2F37" w:rsidRDefault="00CA2F37"/>
    <w:p w:rsidR="00CA2F37" w:rsidRDefault="00047D12">
      <w:pPr>
        <w:pStyle w:val="Heading2"/>
      </w:pPr>
      <w:r>
        <w:rPr>
          <w:color w:val="1F3A5F"/>
        </w:rPr>
        <w:t>4.10 Temporary absence and temporary charge</w:t>
      </w:r>
    </w:p>
    <w:p w:rsidR="00CA2F37" w:rsidRDefault="00047D12">
      <w:pPr>
        <w:spacing w:after="120"/>
      </w:pPr>
      <w:r>
        <w:t>A superior records leave or other absence, and may give the post's charge to another officer for that period.</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w:t>
            </w:r>
            <w:bookmarkStart w:id="0" w:name="_GoBack"/>
            <w:bookmarkEnd w:id="0"/>
            <w:r>
              <w:rPr>
                <w:sz w:val="20"/>
              </w:rPr>
              <w:t>diate effect.</w:t>
            </w:r>
          </w:p>
        </w:tc>
      </w:tr>
    </w:tbl>
    <w:p w:rsidR="00CA2F37" w:rsidRDefault="00CA2F37"/>
    <w:p w:rsidR="00CA2F37" w:rsidRDefault="00047D12">
      <w:pPr>
        <w:pStyle w:val="Heading2"/>
      </w:pPr>
      <w:r>
        <w:rPr>
          <w:color w:val="1F3A5F"/>
        </w:rPr>
        <w:t>4.11 Creating / modifying roles and their access</w:t>
      </w:r>
    </w:p>
    <w:p w:rsidR="00CA2F37" w:rsidRDefault="00047D12">
      <w:pPr>
        <w:spacing w:after="120"/>
      </w:pPr>
      <w:r>
        <w:t>Roles, and what each role can do, are maintained by the Application Admin.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Application Admin is one of the DSR roles.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The Application Admin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UM-ROL-04</w:t>
            </w:r>
          </w:p>
        </w:tc>
        <w:tc>
          <w:tcPr>
            <w:tcW w:w="8164" w:type="dxa"/>
          </w:tcPr>
          <w:p w:rsidR="00CA2F37" w:rsidRDefault="00047D12">
            <w:r>
              <w:rPr>
                <w:sz w:val="20"/>
              </w:rPr>
              <w:t>A list of divisions is maintained (for example Admin, Vigilance, Enforcement, Computers, Intelligence &amp; Audit, CVC).</w:t>
            </w:r>
          </w:p>
        </w:tc>
      </w:tr>
      <w:tr w:rsidR="00CA2F37">
        <w:trPr>
          <w:jc w:val="center"/>
        </w:trPr>
        <w:tc>
          <w:tcPr>
            <w:tcW w:w="1474" w:type="dxa"/>
          </w:tcPr>
          <w:p w:rsidR="00CA2F37" w:rsidRDefault="00047D12">
            <w:r>
              <w:rPr>
                <w:b/>
                <w:sz w:val="20"/>
              </w:rPr>
              <w:t>UM-ROL-05</w:t>
            </w:r>
          </w:p>
        </w:tc>
        <w:tc>
          <w:tcPr>
            <w:tcW w:w="8164" w:type="dxa"/>
          </w:tcPr>
          <w:p w:rsidR="00CA2F37" w:rsidRDefault="00047D12">
            <w:r>
              <w:rPr>
                <w:sz w:val="20"/>
              </w:rPr>
              <w:t>Each post is linked to its role(s). A post with no role cannot be sanctioned or given to an officer. Division posts get only their own division's role (for example DIGR Admin does not get Enforcement work).</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The Application Admin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bl>
    <w:p w:rsidR="00CA2F37" w:rsidRDefault="00CA2F37"/>
    <w:p w:rsidR="00CA2F37" w:rsidRDefault="00047D12">
      <w:pPr>
        <w:pStyle w:val="Heading2"/>
      </w:pPr>
      <w:r>
        <w:rPr>
          <w:color w:val="1F3A5F"/>
        </w:rPr>
        <w:lastRenderedPageBreak/>
        <w:t>4.12 Creating / modifying sanctioned posts for each office</w:t>
      </w:r>
    </w:p>
    <w:p w:rsidR="00CA2F37" w:rsidRDefault="00047D12">
      <w:pPr>
        <w:spacing w:after="120"/>
      </w:pPr>
      <w:r>
        <w:t>Posts and sanctioned strength are maintained by the Application Admin.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The Application Admin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The Application Admin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The Application Admin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4.13 Creating / managing reporting hierarchies</w:t>
      </w:r>
    </w:p>
    <w:p w:rsidR="00CA2F37" w:rsidRDefault="00047D12">
      <w:pPr>
        <w:spacing w:after="120"/>
      </w:pPr>
      <w:r>
        <w:t>The office hierarchy and the officer reporting hierarchy are maintained by the Application Admin.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t>UM-HIE-03</w:t>
            </w:r>
          </w:p>
        </w:tc>
        <w:tc>
          <w:tcPr>
            <w:tcW w:w="8164" w:type="dxa"/>
          </w:tcPr>
          <w:p w:rsidR="00CA2F37" w:rsidRDefault="00047D12">
            <w:r>
              <w:rPr>
                <w:sz w:val="20"/>
              </w:rPr>
              <w:t>The Application Admin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4.14 Managing users</w:t>
      </w:r>
    </w:p>
    <w:p w:rsidR="00CA2F37" w:rsidRDefault="00047D12">
      <w:pPr>
        <w:spacing w:after="120"/>
      </w:pPr>
      <w:r>
        <w:t>Day-to-day administration of user accounts.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The Application Admin role is given to a DSR Officer in the same way as other DSR roles. No second approval (maker-checker) is needed for user creation or master changes.</w:t>
            </w:r>
          </w:p>
        </w:tc>
      </w:tr>
    </w:tbl>
    <w:p w:rsidR="00CA2F37" w:rsidRDefault="00CA2F37"/>
    <w:p w:rsidR="00CA2F37" w:rsidRDefault="00047D12">
      <w:pPr>
        <w:pStyle w:val="Heading2"/>
      </w:pPr>
      <w:r>
        <w:rPr>
          <w:color w:val="1F3A5F"/>
        </w:rPr>
        <w:t>4.15 Moving citizens from Kaveri 2.0</w:t>
      </w:r>
    </w:p>
    <w:p w:rsidR="00CA2F37" w:rsidRDefault="00047D12">
      <w:pPr>
        <w:spacing w:after="120"/>
      </w:pPr>
      <w:r>
        <w:t>Existing e-KYC-verified citizens are moved so that they need not register again.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
              <w:rPr>
                <w:sz w:val="20"/>
              </w:rPr>
              <w:t>At first sign-in the citizen uses email ID + Captcha + OTP to mobile, verifies the email by OTP and accepts the privacy notice.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lastRenderedPageBreak/>
              <w:t>UM-MIG-07</w:t>
            </w:r>
          </w:p>
        </w:tc>
        <w:tc>
          <w:tcPr>
            <w:tcW w:w="8164" w:type="dxa"/>
          </w:tcPr>
          <w:p w:rsidR="00CA2F37" w:rsidRDefault="00047D12">
            <w:r>
              <w:rPr>
                <w:sz w:val="20"/>
              </w:rPr>
              <w:t>Records with a wrong or duplicate email ID,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
              <w:rPr>
                <w:sz w:val="20"/>
              </w:rPr>
              <w:t>Trial runs are done first. The counts must match (total = not moved + set aside + moved). Kaveri 2.0 citizen registration is frozen at cut-over, and go-live needs sign-off by Kaveri IT Cell and the Product Owner.</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47D12">
      <w:pPr>
        <w:pStyle w:val="Heading1"/>
      </w:pPr>
      <w:r>
        <w:rPr>
          <w:color w:val="1F3A5F"/>
        </w:rPr>
        <w:t>5. General Needs</w:t>
      </w:r>
    </w:p>
    <w:tbl>
      <w:tblPr>
        <w:tblStyle w:val="TableGrid"/>
        <w:tblW w:w="0" w:type="auto"/>
        <w:jc w:val="center"/>
        <w:tblLook w:val="04A0" w:firstRow="1" w:lastRow="0" w:firstColumn="1" w:lastColumn="0" w:noHBand="0" w:noVBand="1"/>
      </w:tblPr>
      <w:tblGrid>
        <w:gridCol w:w="1474"/>
        <w:gridCol w:w="1814"/>
        <w:gridCol w:w="6350"/>
      </w:tblGrid>
      <w:tr w:rsidR="00CA2F37">
        <w:trPr>
          <w:tblHeader/>
          <w:jc w:val="center"/>
        </w:trPr>
        <w:tc>
          <w:tcPr>
            <w:tcW w:w="1474" w:type="dxa"/>
            <w:shd w:val="clear" w:color="auto" w:fill="1F3A5F"/>
          </w:tcPr>
          <w:p w:rsidR="00CA2F37" w:rsidRDefault="00047D12">
            <w:r>
              <w:rPr>
                <w:b/>
                <w:color w:val="FFFFFF"/>
                <w:sz w:val="20"/>
              </w:rPr>
              <w:t>Req ID</w:t>
            </w:r>
          </w:p>
        </w:tc>
        <w:tc>
          <w:tcPr>
            <w:tcW w:w="1814" w:type="dxa"/>
            <w:shd w:val="clear" w:color="auto" w:fill="1F3A5F"/>
          </w:tcPr>
          <w:p w:rsidR="00CA2F37" w:rsidRDefault="00047D12">
            <w:r>
              <w:rPr>
                <w:b/>
                <w:color w:val="FFFFFF"/>
                <w:sz w:val="20"/>
              </w:rPr>
              <w:t>Area</w:t>
            </w:r>
          </w:p>
        </w:tc>
        <w:tc>
          <w:tcPr>
            <w:tcW w:w="6350" w:type="dxa"/>
            <w:shd w:val="clear" w:color="auto" w:fill="1F3A5F"/>
          </w:tcPr>
          <w:p w:rsidR="00CA2F37" w:rsidRDefault="00047D12">
            <w:r>
              <w:rPr>
                <w:b/>
                <w:color w:val="FFFFFF"/>
                <w:sz w:val="20"/>
              </w:rPr>
              <w:t>What is needed</w:t>
            </w:r>
          </w:p>
        </w:tc>
      </w:tr>
      <w:tr w:rsidR="00CA2F37">
        <w:trPr>
          <w:jc w:val="center"/>
        </w:trPr>
        <w:tc>
          <w:tcPr>
            <w:tcW w:w="1474" w:type="dxa"/>
          </w:tcPr>
          <w:p w:rsidR="00CA2F37" w:rsidRDefault="00047D12">
            <w:r>
              <w:rPr>
                <w:b/>
                <w:sz w:val="20"/>
              </w:rPr>
              <w:t>UM-GEN-01</w:t>
            </w:r>
          </w:p>
        </w:tc>
        <w:tc>
          <w:tcPr>
            <w:tcW w:w="1814" w:type="dxa"/>
          </w:tcPr>
          <w:p w:rsidR="00CA2F37" w:rsidRDefault="00047D12">
            <w:r>
              <w:rPr>
                <w:sz w:val="20"/>
              </w:rPr>
              <w:t>Language and access</w:t>
            </w:r>
          </w:p>
        </w:tc>
        <w:tc>
          <w:tcPr>
            <w:tcW w:w="6350" w:type="dxa"/>
          </w:tcPr>
          <w:p w:rsidR="00CA2F37" w:rsidRDefault="00047D12">
            <w:r>
              <w:rPr>
                <w:sz w:val="20"/>
              </w:rPr>
              <w:t>Citizen screens are in Kannada and English and follow Government accessibility guidelines (GIGW). Registration and sign-in work on desktop and mobile browsers.</w:t>
            </w:r>
          </w:p>
        </w:tc>
      </w:tr>
      <w:tr w:rsidR="00CA2F37">
        <w:trPr>
          <w:jc w:val="center"/>
        </w:trPr>
        <w:tc>
          <w:tcPr>
            <w:tcW w:w="1474" w:type="dxa"/>
          </w:tcPr>
          <w:p w:rsidR="00CA2F37" w:rsidRDefault="00047D12">
            <w:r>
              <w:rPr>
                <w:b/>
                <w:sz w:val="20"/>
              </w:rPr>
              <w:t>UM-GEN-02</w:t>
            </w:r>
          </w:p>
        </w:tc>
        <w:tc>
          <w:tcPr>
            <w:tcW w:w="1814" w:type="dxa"/>
          </w:tcPr>
          <w:p w:rsidR="00CA2F37" w:rsidRDefault="00047D12">
            <w:r>
              <w:rPr>
                <w:sz w:val="20"/>
              </w:rPr>
              <w:t>Speed</w:t>
            </w:r>
          </w:p>
        </w:tc>
        <w:tc>
          <w:tcPr>
            <w:tcW w:w="6350" w:type="dxa"/>
          </w:tcPr>
          <w:p w:rsidR="00CA2F37" w:rsidRDefault="00047D12">
            <w:r>
              <w:rPr>
                <w:sz w:val="20"/>
              </w:rPr>
              <w:t>Sign-in OTP reaches the mobile within 5 seconds; registration OTPs and the reset PIN within 30 seconds. Sign-in completes within 2 seconds after the OTP / face / biometric check.</w:t>
            </w:r>
          </w:p>
        </w:tc>
      </w:tr>
      <w:tr w:rsidR="00CA2F37">
        <w:trPr>
          <w:jc w:val="center"/>
        </w:trPr>
        <w:tc>
          <w:tcPr>
            <w:tcW w:w="1474" w:type="dxa"/>
          </w:tcPr>
          <w:p w:rsidR="00CA2F37" w:rsidRDefault="00047D12">
            <w:r>
              <w:rPr>
                <w:b/>
                <w:sz w:val="20"/>
              </w:rPr>
              <w:t>UM-GEN-03</w:t>
            </w:r>
          </w:p>
        </w:tc>
        <w:tc>
          <w:tcPr>
            <w:tcW w:w="1814" w:type="dxa"/>
          </w:tcPr>
          <w:p w:rsidR="00CA2F37" w:rsidRDefault="00047D12">
            <w:r>
              <w:rPr>
                <w:sz w:val="20"/>
              </w:rPr>
              <w:t>Capacity</w:t>
            </w:r>
          </w:p>
        </w:tc>
        <w:tc>
          <w:tcPr>
            <w:tcW w:w="6350" w:type="dxa"/>
          </w:tcPr>
          <w:p w:rsidR="00CA2F37" w:rsidRDefault="00047D12">
            <w:r>
              <w:rPr>
                <w:sz w:val="20"/>
              </w:rPr>
              <w:t>At least 500 users signed in at the same time at launch; higher targets confirmed during testing with Kaveri IT Cell.</w:t>
            </w:r>
          </w:p>
        </w:tc>
      </w:tr>
      <w:tr w:rsidR="00CA2F37">
        <w:trPr>
          <w:jc w:val="center"/>
        </w:trPr>
        <w:tc>
          <w:tcPr>
            <w:tcW w:w="1474" w:type="dxa"/>
          </w:tcPr>
          <w:p w:rsidR="00CA2F37" w:rsidRDefault="00047D12">
            <w:r>
              <w:rPr>
                <w:b/>
                <w:sz w:val="20"/>
              </w:rPr>
              <w:t>UM-GEN-04</w:t>
            </w:r>
          </w:p>
        </w:tc>
        <w:tc>
          <w:tcPr>
            <w:tcW w:w="1814" w:type="dxa"/>
          </w:tcPr>
          <w:p w:rsidR="00CA2F37" w:rsidRDefault="00047D12">
            <w:r>
              <w:rPr>
                <w:sz w:val="20"/>
              </w:rPr>
              <w:t>Security</w:t>
            </w:r>
          </w:p>
        </w:tc>
        <w:tc>
          <w:tcPr>
            <w:tcW w:w="6350" w:type="dxa"/>
          </w:tcPr>
          <w:p w:rsidR="00CA2F37" w:rsidRDefault="00047D12">
            <w:r>
              <w:rPr>
                <w:sz w:val="20"/>
              </w:rPr>
              <w:t>No passwords are stored. All connections are secure. Aadhaar e-KYC and biometrics follow the Aadhaar Act and UIDAI rules.</w:t>
            </w:r>
          </w:p>
        </w:tc>
      </w:tr>
      <w:tr w:rsidR="00CA2F37">
        <w:trPr>
          <w:jc w:val="center"/>
        </w:trPr>
        <w:tc>
          <w:tcPr>
            <w:tcW w:w="1474" w:type="dxa"/>
          </w:tcPr>
          <w:p w:rsidR="00CA2F37" w:rsidRDefault="00047D12">
            <w:r>
              <w:rPr>
                <w:b/>
                <w:sz w:val="20"/>
              </w:rPr>
              <w:t>UM-GEN-05</w:t>
            </w:r>
          </w:p>
        </w:tc>
        <w:tc>
          <w:tcPr>
            <w:tcW w:w="1814" w:type="dxa"/>
          </w:tcPr>
          <w:p w:rsidR="00CA2F37" w:rsidRDefault="00047D12">
            <w:r>
              <w:rPr>
                <w:sz w:val="20"/>
              </w:rPr>
              <w:t>Data</w:t>
            </w:r>
          </w:p>
        </w:tc>
        <w:tc>
          <w:tcPr>
            <w:tcW w:w="6350" w:type="dxa"/>
          </w:tcPr>
          <w:p w:rsidR="00CA2F37" w:rsidRDefault="00047D12">
            <w:r>
              <w:rPr>
                <w:sz w:val="20"/>
              </w:rPr>
              <w:t>All personal data stays in India, on Government-approved (MeitY-empanelled) hosting, and follows the DPDP Act 2023.</w:t>
            </w:r>
          </w:p>
        </w:tc>
      </w:tr>
      <w:tr w:rsidR="00CA2F37">
        <w:trPr>
          <w:jc w:val="center"/>
        </w:trPr>
        <w:tc>
          <w:tcPr>
            <w:tcW w:w="1474" w:type="dxa"/>
          </w:tcPr>
          <w:p w:rsidR="00CA2F37" w:rsidRDefault="00047D12">
            <w:r>
              <w:rPr>
                <w:b/>
                <w:sz w:val="20"/>
              </w:rPr>
              <w:t>UM-GEN-06</w:t>
            </w:r>
          </w:p>
        </w:tc>
        <w:tc>
          <w:tcPr>
            <w:tcW w:w="1814" w:type="dxa"/>
          </w:tcPr>
          <w:p w:rsidR="00CA2F37" w:rsidRDefault="00047D12">
            <w:r>
              <w:rPr>
                <w:sz w:val="20"/>
              </w:rPr>
              <w:t>Records</w:t>
            </w:r>
          </w:p>
        </w:tc>
        <w:tc>
          <w:tcPr>
            <w:tcW w:w="6350" w:type="dxa"/>
          </w:tcPr>
          <w:p w:rsidR="00CA2F37" w:rsidRDefault="00047D12">
            <w:r>
              <w:rPr>
                <w:sz w:val="20"/>
              </w:rPr>
              <w:t>Every create, change, sign-in, transfer, relieving, absence and charge is recorded with who did it and when. Absence and charge records are kept for at least seven years.</w:t>
            </w:r>
          </w:p>
        </w:tc>
      </w:tr>
      <w:tr w:rsidR="00CA2F37">
        <w:trPr>
          <w:jc w:val="center"/>
        </w:trPr>
        <w:tc>
          <w:tcPr>
            <w:tcW w:w="1474" w:type="dxa"/>
          </w:tcPr>
          <w:p w:rsidR="00CA2F37" w:rsidRDefault="00047D12">
            <w:r>
              <w:rPr>
                <w:b/>
                <w:sz w:val="20"/>
              </w:rPr>
              <w:t>UM-GEN-07</w:t>
            </w:r>
          </w:p>
        </w:tc>
        <w:tc>
          <w:tcPr>
            <w:tcW w:w="1814" w:type="dxa"/>
          </w:tcPr>
          <w:p w:rsidR="00CA2F37" w:rsidRDefault="00047D12">
            <w:r>
              <w:rPr>
                <w:sz w:val="20"/>
              </w:rPr>
              <w:t>Night-time update</w:t>
            </w:r>
          </w:p>
        </w:tc>
        <w:tc>
          <w:tcPr>
            <w:tcW w:w="6350" w:type="dxa"/>
          </w:tcPr>
          <w:p w:rsidR="00CA2F37" w:rsidRDefault="00047D12">
            <w:r>
              <w:rPr>
                <w:sz w:val="20"/>
              </w:rPr>
              <w:t>The nightly update of postings and vacancies finishes before the first sign-in of the day. If it fails, Kaveri IT Cell is alerted.</w:t>
            </w:r>
          </w:p>
        </w:tc>
      </w:tr>
    </w:tbl>
    <w:p w:rsidR="00CA2F37" w:rsidRDefault="00CA2F37"/>
    <w:p w:rsidR="00CA2F37" w:rsidRDefault="00047D12">
      <w:pPr>
        <w:pStyle w:val="Heading1"/>
      </w:pPr>
      <w:r>
        <w:rPr>
          <w:color w:val="1F3A5F"/>
        </w:rPr>
        <w:t>6.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bl>
    <w:p w:rsidR="00CA2F37" w:rsidRDefault="00CA2F37"/>
    <w:p w:rsidR="00CA2F37" w:rsidRDefault="00047D12">
      <w:pPr>
        <w:pStyle w:val="Heading1"/>
      </w:pPr>
      <w:r>
        <w:rPr>
          <w:color w:val="1F3A5F"/>
        </w:rPr>
        <w:lastRenderedPageBreak/>
        <w:t>7.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r w:rsidR="00CA2F37">
        <w:trPr>
          <w:jc w:val="center"/>
        </w:trPr>
        <w:tc>
          <w:tcPr>
            <w:tcW w:w="1474" w:type="dxa"/>
          </w:tcPr>
          <w:p w:rsidR="00CA2F37" w:rsidRDefault="00047D12">
            <w:r>
              <w:rPr>
                <w:b/>
                <w:sz w:val="20"/>
              </w:rPr>
              <w:t>UM-ACC-10</w:t>
            </w:r>
          </w:p>
        </w:tc>
        <w:tc>
          <w:tcPr>
            <w:tcW w:w="8164" w:type="dxa"/>
          </w:tcPr>
          <w:p w:rsidR="00CA2F37" w:rsidRDefault="00047D12">
            <w:r>
              <w:rPr>
                <w:sz w:val="20"/>
              </w:rPr>
              <w:t>All general needs in Section 5 are met, security testing has no open critical or high findings, and user and administrator guides are delivered.</w:t>
            </w:r>
          </w:p>
        </w:tc>
      </w:tr>
    </w:tbl>
    <w:p w:rsidR="00CA2F37" w:rsidRDefault="00CA2F37"/>
    <w:p w:rsidR="00CA2F37" w:rsidRDefault="00047D12">
      <w:pPr>
        <w:pStyle w:val="Heading1"/>
      </w:pPr>
      <w:r>
        <w:rPr>
          <w:color w:val="1F3A5F"/>
        </w:rPr>
        <w:t>8.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Application Admin</w:t>
            </w:r>
          </w:p>
        </w:tc>
        <w:tc>
          <w:tcPr>
            <w:tcW w:w="7370" w:type="dxa"/>
          </w:tcPr>
          <w:p w:rsidR="00CA2F37" w:rsidRDefault="00047D12">
            <w:r>
              <w:rPr>
                <w:sz w:val="20"/>
              </w:rPr>
              <w:t>A DSR role; the officer holding it maintains roles, posts, sanctioned posts, offices and hierarchies.</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 xml:space="preserve">The order uploaded by the IGR office that triggers Transfer In and Relieving / Transfer </w:t>
            </w:r>
            <w:r>
              <w:rPr>
                <w:sz w:val="20"/>
              </w:rPr>
              <w:lastRenderedPageBreak/>
              <w:t>Out of an officer.</w:t>
            </w:r>
          </w:p>
        </w:tc>
      </w:tr>
      <w:tr w:rsidR="00CA2F37">
        <w:trPr>
          <w:jc w:val="center"/>
        </w:trPr>
        <w:tc>
          <w:tcPr>
            <w:tcW w:w="2268" w:type="dxa"/>
          </w:tcPr>
          <w:p w:rsidR="00CA2F37" w:rsidRDefault="00047D12">
            <w:r>
              <w:rPr>
                <w:sz w:val="20"/>
              </w:rPr>
              <w:lastRenderedPageBreak/>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47D12">
      <w:pPr>
        <w:pStyle w:val="Heading1"/>
      </w:pPr>
      <w:r>
        <w:rPr>
          <w:color w:val="1F3A5F"/>
        </w:rPr>
        <w:t>9.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gridCol w:w="2268"/>
        <w:gridCol w:w="1701"/>
      </w:tblGrid>
      <w:tr w:rsidR="00CA2F37">
        <w:trPr>
          <w:tblHeader/>
          <w:jc w:val="center"/>
        </w:trPr>
        <w:tc>
          <w:tcPr>
            <w:tcW w:w="2551" w:type="dxa"/>
            <w:shd w:val="clear" w:color="auto" w:fill="1F3A5F"/>
          </w:tcPr>
          <w:p w:rsidR="00CA2F37" w:rsidRDefault="00047D12">
            <w:r>
              <w:rPr>
                <w:b/>
                <w:color w:val="FFFFFF"/>
                <w:sz w:val="20"/>
              </w:rPr>
              <w:t>Name</w:t>
            </w:r>
          </w:p>
        </w:tc>
        <w:tc>
          <w:tcPr>
            <w:tcW w:w="3118" w:type="dxa"/>
            <w:shd w:val="clear" w:color="auto" w:fill="1F3A5F"/>
          </w:tcPr>
          <w:p w:rsidR="00CA2F37" w:rsidRDefault="00047D12">
            <w:r>
              <w:rPr>
                <w:b/>
                <w:color w:val="FFFFFF"/>
                <w:sz w:val="20"/>
              </w:rPr>
              <w:t>Role</w:t>
            </w:r>
          </w:p>
        </w:tc>
        <w:tc>
          <w:tcPr>
            <w:tcW w:w="2268" w:type="dxa"/>
            <w:shd w:val="clear" w:color="auto" w:fill="1F3A5F"/>
          </w:tcPr>
          <w:p w:rsidR="00CA2F37" w:rsidRDefault="00047D12">
            <w:r>
              <w:rPr>
                <w:b/>
                <w:color w:val="FFFFFF"/>
                <w:sz w:val="20"/>
              </w:rPr>
              <w:t>Signature</w:t>
            </w:r>
          </w:p>
        </w:tc>
        <w:tc>
          <w:tcPr>
            <w:tcW w:w="1701" w:type="dxa"/>
            <w:shd w:val="clear" w:color="auto" w:fill="1F3A5F"/>
          </w:tcPr>
          <w:p w:rsidR="00CA2F37" w:rsidRDefault="00047D12">
            <w:r>
              <w:rPr>
                <w:b/>
                <w:color w:val="FFFFFF"/>
                <w:sz w:val="20"/>
              </w:rPr>
              <w:t>Date</w:t>
            </w:r>
          </w:p>
        </w:tc>
      </w:tr>
      <w:tr w:rsidR="00CA2F37">
        <w:trPr>
          <w:jc w:val="center"/>
        </w:trPr>
        <w:tc>
          <w:tcPr>
            <w:tcW w:w="2551" w:type="dxa"/>
          </w:tcPr>
          <w:p w:rsidR="00CA2F37" w:rsidRDefault="00047D12">
            <w:r>
              <w:rPr>
                <w:sz w:val="20"/>
              </w:rPr>
              <w:t>M V Prashanth</w:t>
            </w:r>
          </w:p>
        </w:tc>
        <w:tc>
          <w:tcPr>
            <w:tcW w:w="3118" w:type="dxa"/>
          </w:tcPr>
          <w:p w:rsidR="00CA2F37" w:rsidRDefault="00047D12">
            <w:r>
              <w:rPr>
                <w:sz w:val="20"/>
              </w:rPr>
              <w:t>Product Owner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047D12">
            <w:r>
              <w:rPr>
                <w:sz w:val="20"/>
              </w:rPr>
              <w:t>Prabhakar Naik</w:t>
            </w:r>
          </w:p>
        </w:tc>
        <w:tc>
          <w:tcPr>
            <w:tcW w:w="3118" w:type="dxa"/>
          </w:tcPr>
          <w:p w:rsidR="00CA2F37" w:rsidRDefault="00047D12">
            <w:r>
              <w:rPr>
                <w:sz w:val="20"/>
              </w:rPr>
              <w:t>Domain expert / reviewer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CA2F37"/>
        </w:tc>
        <w:tc>
          <w:tcPr>
            <w:tcW w:w="3118" w:type="dxa"/>
          </w:tcPr>
          <w:p w:rsidR="00CA2F37" w:rsidRDefault="00047D12">
            <w:r>
              <w:rPr>
                <w:sz w:val="20"/>
              </w:rPr>
              <w:t>Department of Stamps and Registration</w:t>
            </w:r>
          </w:p>
        </w:tc>
        <w:tc>
          <w:tcPr>
            <w:tcW w:w="2268" w:type="dxa"/>
          </w:tcPr>
          <w:p w:rsidR="00CA2F37" w:rsidRDefault="00CA2F37"/>
        </w:tc>
        <w:tc>
          <w:tcPr>
            <w:tcW w:w="1701" w:type="dxa"/>
          </w:tcPr>
          <w:p w:rsidR="00CA2F37" w:rsidRDefault="00CA2F37"/>
        </w:tc>
      </w:tr>
    </w:tbl>
    <w:p w:rsidR="00CA2F37" w:rsidRDefault="00CA2F37"/>
    <w:sectPr w:rsidR="00CA2F37"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EE6" w:rsidRDefault="002E2EE6">
      <w:pPr>
        <w:spacing w:after="0" w:line="240" w:lineRule="auto"/>
      </w:pPr>
      <w:r>
        <w:separator/>
      </w:r>
    </w:p>
  </w:endnote>
  <w:endnote w:type="continuationSeparator" w:id="0">
    <w:p w:rsidR="002E2EE6" w:rsidRDefault="002E2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0304F1">
      <w:rPr>
        <w:noProof/>
        <w:sz w:val="18"/>
      </w:rPr>
      <w:t>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EE6" w:rsidRDefault="002E2EE6">
      <w:pPr>
        <w:spacing w:after="0" w:line="240" w:lineRule="auto"/>
      </w:pPr>
      <w:r>
        <w:separator/>
      </w:r>
    </w:p>
  </w:footnote>
  <w:footnote w:type="continuationSeparator" w:id="0">
    <w:p w:rsidR="002E2EE6" w:rsidRDefault="002E2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4F1"/>
    <w:rsid w:val="00034616"/>
    <w:rsid w:val="00047D12"/>
    <w:rsid w:val="0006063C"/>
    <w:rsid w:val="0015074B"/>
    <w:rsid w:val="00196D5D"/>
    <w:rsid w:val="001F6503"/>
    <w:rsid w:val="0029639D"/>
    <w:rsid w:val="002E2EE6"/>
    <w:rsid w:val="00326F90"/>
    <w:rsid w:val="00744F41"/>
    <w:rsid w:val="007F7CC3"/>
    <w:rsid w:val="00AA1D8D"/>
    <w:rsid w:val="00B47730"/>
    <w:rsid w:val="00C732FF"/>
    <w:rsid w:val="00CA2F37"/>
    <w:rsid w:val="00CB0664"/>
    <w:rsid w:val="00D3196E"/>
    <w:rsid w:val="00D36DB4"/>
    <w:rsid w:val="00DE3050"/>
    <w:rsid w:val="00ED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1D2E1"/>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14674E-7B6E-4D08-92F3-83E77A136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3922</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11</cp:revision>
  <dcterms:created xsi:type="dcterms:W3CDTF">2013-12-23T23:15:00Z</dcterms:created>
  <dcterms:modified xsi:type="dcterms:W3CDTF">2026-10-05T07:09:00Z</dcterms:modified>
  <cp:category/>
</cp:coreProperties>
</file>