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type="auto" w:w="0"/>
        <w:tblLook w:firstColumn="1" w:firstRow="1" w:lastColumn="0" w:lastRow="0" w:noHBand="0" w:noVBand="1" w:val="04A0"/>
      </w:tblPr>
      <w:tblGrid>
        <w:gridCol w:w="4513"/>
        <w:gridCol w:w="4513"/>
      </w:tblGrid>
      <w:tr>
        <w:tc>
          <w:tcPr>
            <w:tcW w:type="dxa" w:w="4513"/>
            <w:shd w:fill="1F4E79" w:val="clear"/>
          </w:tcPr>
          <w:p>
            <w:r>
              <w:rPr>
                <w:b/>
                <w:color w:val="FFFFFF"/>
                <w:sz w:val="20"/>
              </w:rPr>
              <w:t>Field</w:t>
            </w:r>
          </w:p>
        </w:tc>
        <w:tc>
          <w:tcPr>
            <w:tcW w:type="dxa" w:w="4513"/>
            <w:shd w:fill="1F4E79" w:val="clear"/>
          </w:tcPr>
          <w:p>
            <w:r>
              <w:rPr>
                <w:b/>
                <w:color w:val="FFFFFF"/>
                <w:sz w:val="20"/>
              </w:rPr>
              <w:t>Value</w:t>
            </w:r>
          </w:p>
        </w:tc>
      </w:tr>
      <w:tr>
        <w:tc>
          <w:tcPr>
            <w:tcW w:type="dxa" w:w="4513"/>
          </w:tcPr>
          <w:p>
            <w:r>
              <w:rPr>
                <w:b w:val="0"/>
                <w:sz w:val="19"/>
              </w:rPr>
              <w:t>Date</w:t>
            </w:r>
          </w:p>
        </w:tc>
        <w:tc>
          <w:tcPr>
            <w:tcW w:type="dxa" w:w="4513"/>
          </w:tcPr>
          <w:p>
            <w:r>
              <w:rPr>
                <w:b w:val="0"/>
                <w:sz w:val="19"/>
              </w:rPr>
              <w:t>07-09-2026</w:t>
            </w:r>
          </w:p>
        </w:tc>
      </w:tr>
      <w:tr>
        <w:tc>
          <w:tcPr>
            <w:tcW w:type="dxa" w:w="4513"/>
          </w:tcPr>
          <w:p>
            <w:r>
              <w:rPr>
                <w:b w:val="0"/>
                <w:sz w:val="19"/>
              </w:rPr>
              <w:t>Topics</w:t>
            </w:r>
          </w:p>
        </w:tc>
        <w:tc>
          <w:tcPr>
            <w:tcW w:type="dxa" w:w="4513"/>
          </w:tcPr>
          <w:p>
            <w:r>
              <w:rPr>
                <w:b w:val="0"/>
                <w:sz w:val="19"/>
              </w:rPr>
              <w:t>Registration Appeal; Will after the death of the testator</w:t>
            </w:r>
          </w:p>
        </w:tc>
      </w:tr>
      <w:tr>
        <w:tc>
          <w:tcPr>
            <w:tcW w:type="dxa" w:w="4513"/>
          </w:tcPr>
          <w:p>
            <w:r>
              <w:rPr>
                <w:b w:val="0"/>
                <w:sz w:val="19"/>
              </w:rPr>
              <w:t>Attendees</w:t>
            </w:r>
          </w:p>
        </w:tc>
        <w:tc>
          <w:tcPr>
            <w:tcW w:type="dxa" w:w="4513"/>
          </w:tcPr>
          <w:p>
            <w:r>
              <w:rPr>
                <w:b w:val="0"/>
                <w:sz w:val="19"/>
              </w:rPr>
              <w:t>Kaveri IT Cell, AIGR Computers team, Committee members (DSR)</w:t>
            </w:r>
          </w:p>
        </w:tc>
      </w:tr>
      <w:tr>
        <w:tc>
          <w:tcPr>
            <w:tcW w:type="dxa" w:w="4513"/>
          </w:tcPr>
          <w:p>
            <w:r>
              <w:rPr>
                <w:b w:val="0"/>
                <w:sz w:val="19"/>
              </w:rPr>
              <w:t>Schedule ref</w:t>
            </w:r>
          </w:p>
        </w:tc>
        <w:tc>
          <w:tcPr>
            <w:tcW w:type="dxa" w:w="4513"/>
          </w:tcPr>
          <w:p>
            <w:r>
              <w:rPr>
                <w:b w:val="0"/>
                <w:sz w:val="19"/>
              </w:rPr>
              <w:t>Sr.17 / Sub-module #10 (Will after Death of testator); Registration Appeal — Registration Act Part XII (Secs. 71–77) and Karnataka Rules Ch. XXIV–XXV; also Kar. Amendment Sec. 22-D</w:t>
            </w:r>
          </w:p>
        </w:tc>
      </w:tr>
      <w:tr>
        <w:tc>
          <w:tcPr>
            <w:tcW w:type="dxa" w:w="4513"/>
          </w:tcPr>
          <w:p>
            <w:r>
              <w:rPr>
                <w:b w:val="0"/>
                <w:sz w:val="19"/>
              </w:rPr>
              <w:t>Version</w:t>
            </w:r>
          </w:p>
        </w:tc>
        <w:tc>
          <w:tcPr>
            <w:tcW w:type="dxa" w:w="4513"/>
          </w:tcPr>
          <w:p>
            <w:r>
              <w:rPr>
                <w:b w:val="0"/>
                <w:sz w:val="19"/>
              </w:rPr>
              <w:t>1.1 (08-09-2026) — rebuilt from working template</w:t>
            </w:r>
          </w:p>
        </w:tc>
      </w:tr>
    </w:tbl>
    <w:p/>
    <w:p>
      <w:pPr>
        <w:pStyle w:val="Heading3"/>
      </w:pPr>
      <w:r>
        <w:t>1. Primary Acts</w:t>
      </w:r>
    </w:p>
    <w:p>
      <w:r>
        <w:t>Statutory basis for Registration Appeal and for registration / opening of wills after the death of the testator.</w:t>
      </w:r>
    </w:p>
    <w:p>
      <w:pPr>
        <w:pStyle w:val="Heading4"/>
      </w:pPr>
      <w:r>
        <w:t>A. Registration Appeal</w:t>
      </w:r>
    </w:p>
    <w:tbl>
      <w:tblPr>
        <w:tblStyle w:val="TableGrid"/>
        <w:tblW w:type="auto" w:w="0"/>
        <w:tblLook w:firstColumn="1" w:firstRow="1" w:lastColumn="0" w:lastRow="0" w:noHBand="0" w:noVBand="1" w:val="04A0"/>
      </w:tblPr>
      <w:tblGrid>
        <w:gridCol w:w="3009"/>
        <w:gridCol w:w="3009"/>
        <w:gridCol w:w="3009"/>
      </w:tblGrid>
      <w:tr>
        <w:tc>
          <w:tcPr>
            <w:tcW w:type="dxa" w:w="3009"/>
            <w:shd w:fill="1F4E79" w:val="clear"/>
          </w:tcPr>
          <w:p>
            <w:r>
              <w:rPr>
                <w:b/>
                <w:color w:val="FFFFFF"/>
                <w:sz w:val="20"/>
              </w:rPr>
              <w:t>Act</w:t>
            </w:r>
          </w:p>
        </w:tc>
        <w:tc>
          <w:tcPr>
            <w:tcW w:type="dxa" w:w="3009"/>
            <w:shd w:fill="1F4E79" w:val="clear"/>
          </w:tcPr>
          <w:p>
            <w:r>
              <w:rPr>
                <w:b/>
                <w:color w:val="FFFFFF"/>
                <w:sz w:val="20"/>
              </w:rPr>
              <w:t>Sections</w:t>
            </w:r>
          </w:p>
        </w:tc>
        <w:tc>
          <w:tcPr>
            <w:tcW w:type="dxa" w:w="3009"/>
            <w:shd w:fill="1F4E79" w:val="clear"/>
          </w:tcPr>
          <w:p>
            <w:r>
              <w:rPr>
                <w:b/>
                <w:color w:val="FFFFFF"/>
                <w:sz w:val="20"/>
              </w:rPr>
              <w:t>Relevance</w:t>
            </w:r>
          </w:p>
        </w:tc>
      </w:tr>
      <w:tr>
        <w:tc>
          <w:tcPr>
            <w:tcW w:type="dxa" w:w="3009"/>
          </w:tcPr>
          <w:p>
            <w:r>
              <w:rPr>
                <w:b w:val="0"/>
                <w:sz w:val="19"/>
              </w:rPr>
              <w:t>The Registration Act, 1908 (Central Act 16 of 1908)</w:t>
            </w:r>
          </w:p>
        </w:tc>
        <w:tc>
          <w:tcPr>
            <w:tcW w:type="dxa" w:w="3009"/>
          </w:tcPr>
          <w:p>
            <w:r>
              <w:rPr>
                <w:b w:val="0"/>
                <w:sz w:val="19"/>
              </w:rPr>
              <w:t>Part XII — Sec. 71</w:t>
            </w:r>
          </w:p>
        </w:tc>
        <w:tc>
          <w:tcPr>
            <w:tcW w:type="dxa" w:w="3009"/>
          </w:tcPr>
          <w:p>
            <w:r>
              <w:rPr>
                <w:b w:val="0"/>
                <w:sz w:val="19"/>
              </w:rPr>
              <w:t>Sub-Registrar refusing registration (except wrong jurisdiction) must make a refusal order and record reasons in Book No. 2; endorse refusal and give a copy on demand.</w:t>
            </w:r>
          </w:p>
        </w:tc>
      </w:tr>
      <w:tr>
        <w:tc>
          <w:tcPr>
            <w:tcW w:type="dxa" w:w="3009"/>
          </w:tcPr>
          <w:p>
            <w:r>
              <w:rPr>
                <w:b w:val="0"/>
                <w:sz w:val="19"/>
              </w:rPr>
            </w:r>
          </w:p>
        </w:tc>
        <w:tc>
          <w:tcPr>
            <w:tcW w:type="dxa" w:w="3009"/>
          </w:tcPr>
          <w:p>
            <w:r>
              <w:rPr>
                <w:b w:val="0"/>
                <w:sz w:val="19"/>
              </w:rPr>
              <w:t>Sec. 72</w:t>
            </w:r>
          </w:p>
        </w:tc>
        <w:tc>
          <w:tcPr>
            <w:tcW w:type="dxa" w:w="3009"/>
          </w:tcPr>
          <w:p>
            <w:r>
              <w:rPr>
                <w:b w:val="0"/>
                <w:sz w:val="19"/>
              </w:rPr>
              <w:t>Appeal to Registrar from Sub-Registrar’s refusal on any ground other than denial of execution — within 30 days of the order.</w:t>
            </w:r>
          </w:p>
        </w:tc>
      </w:tr>
      <w:tr>
        <w:tc>
          <w:tcPr>
            <w:tcW w:type="dxa" w:w="3009"/>
          </w:tcPr>
          <w:p>
            <w:r>
              <w:rPr>
                <w:b w:val="0"/>
                <w:sz w:val="19"/>
              </w:rPr>
            </w:r>
          </w:p>
        </w:tc>
        <w:tc>
          <w:tcPr>
            <w:tcW w:type="dxa" w:w="3009"/>
          </w:tcPr>
          <w:p>
            <w:r>
              <w:rPr>
                <w:b w:val="0"/>
                <w:sz w:val="19"/>
              </w:rPr>
              <w:t>Sec. 73</w:t>
            </w:r>
          </w:p>
        </w:tc>
        <w:tc>
          <w:tcPr>
            <w:tcW w:type="dxa" w:w="3009"/>
          </w:tcPr>
          <w:p>
            <w:r>
              <w:rPr>
                <w:b w:val="0"/>
                <w:sz w:val="19"/>
              </w:rPr>
              <w:t>Where refusal is on denial of execution: application to Registrar (not an appeal under Sec. 72) by any person claiming under the document, within 30 days, verified like a plaint.</w:t>
            </w:r>
          </w:p>
        </w:tc>
      </w:tr>
      <w:tr>
        <w:tc>
          <w:tcPr>
            <w:tcW w:type="dxa" w:w="3009"/>
          </w:tcPr>
          <w:p>
            <w:r>
              <w:rPr>
                <w:b w:val="0"/>
                <w:sz w:val="19"/>
              </w:rPr>
            </w:r>
          </w:p>
        </w:tc>
        <w:tc>
          <w:tcPr>
            <w:tcW w:type="dxa" w:w="3009"/>
          </w:tcPr>
          <w:p>
            <w:r>
              <w:rPr>
                <w:b w:val="0"/>
                <w:sz w:val="19"/>
              </w:rPr>
              <w:t>Sec. 74</w:t>
            </w:r>
          </w:p>
        </w:tc>
        <w:tc>
          <w:tcPr>
            <w:tcW w:type="dxa" w:w="3009"/>
          </w:tcPr>
          <w:p>
            <w:r>
              <w:rPr>
                <w:b w:val="0"/>
                <w:sz w:val="19"/>
              </w:rPr>
              <w:t>Registrar’s enquiry: (a) whether the document was executed; (b) whether requirements of law for registration were complied with.</w:t>
            </w:r>
          </w:p>
        </w:tc>
      </w:tr>
      <w:tr>
        <w:tc>
          <w:tcPr>
            <w:tcW w:type="dxa" w:w="3009"/>
          </w:tcPr>
          <w:p>
            <w:r>
              <w:rPr>
                <w:b w:val="0"/>
                <w:sz w:val="19"/>
              </w:rPr>
            </w:r>
          </w:p>
        </w:tc>
        <w:tc>
          <w:tcPr>
            <w:tcW w:type="dxa" w:w="3009"/>
          </w:tcPr>
          <w:p>
            <w:r>
              <w:rPr>
                <w:b w:val="0"/>
                <w:sz w:val="19"/>
              </w:rPr>
              <w:t>Sec. 75</w:t>
            </w:r>
          </w:p>
        </w:tc>
        <w:tc>
          <w:tcPr>
            <w:tcW w:type="dxa" w:w="3009"/>
          </w:tcPr>
          <w:p>
            <w:r>
              <w:rPr>
                <w:b w:val="0"/>
                <w:sz w:val="19"/>
              </w:rPr>
              <w:t>If satisfied, Registrar orders registration; document to be presented within 30 days of the order; registration has effect as of the original presentation date.</w:t>
            </w:r>
          </w:p>
        </w:tc>
      </w:tr>
      <w:tr>
        <w:tc>
          <w:tcPr>
            <w:tcW w:type="dxa" w:w="3009"/>
          </w:tcPr>
          <w:p>
            <w:r>
              <w:rPr>
                <w:b w:val="0"/>
                <w:sz w:val="19"/>
              </w:rPr>
            </w:r>
          </w:p>
        </w:tc>
        <w:tc>
          <w:tcPr>
            <w:tcW w:type="dxa" w:w="3009"/>
          </w:tcPr>
          <w:p>
            <w:r>
              <w:rPr>
                <w:b w:val="0"/>
                <w:sz w:val="19"/>
              </w:rPr>
              <w:t>Sec. 76</w:t>
            </w:r>
          </w:p>
        </w:tc>
        <w:tc>
          <w:tcPr>
            <w:tcW w:type="dxa" w:w="3009"/>
          </w:tcPr>
          <w:p>
            <w:r>
              <w:rPr>
                <w:b w:val="0"/>
                <w:sz w:val="19"/>
              </w:rPr>
              <w:t>Registrar’s own refusal order (or refusal to direct registration under Sec. 72 / 75) — reasons in Book No. 2; copy on demand.</w:t>
            </w:r>
          </w:p>
        </w:tc>
      </w:tr>
      <w:tr>
        <w:tc>
          <w:tcPr>
            <w:tcW w:type="dxa" w:w="3009"/>
          </w:tcPr>
          <w:p>
            <w:r>
              <w:rPr>
                <w:b w:val="0"/>
                <w:sz w:val="19"/>
              </w:rPr>
            </w:r>
          </w:p>
        </w:tc>
        <w:tc>
          <w:tcPr>
            <w:tcW w:type="dxa" w:w="3009"/>
          </w:tcPr>
          <w:p>
            <w:r>
              <w:rPr>
                <w:b w:val="0"/>
                <w:sz w:val="19"/>
              </w:rPr>
              <w:t>Sec. 77</w:t>
            </w:r>
          </w:p>
        </w:tc>
        <w:tc>
          <w:tcPr>
            <w:tcW w:type="dxa" w:w="3009"/>
          </w:tcPr>
          <w:p>
            <w:r>
              <w:rPr>
                <w:b w:val="0"/>
                <w:sz w:val="19"/>
              </w:rPr>
              <w:t>Suit in Civil Court within 30 days of Registrar’s refusal order under Sec. 72 or Sec. 76; if decree directs registration, present within 30 days of decree.</w:t>
            </w:r>
          </w:p>
        </w:tc>
      </w:tr>
      <w:tr>
        <w:tc>
          <w:tcPr>
            <w:tcW w:type="dxa" w:w="3009"/>
          </w:tcPr>
          <w:p>
            <w:r>
              <w:rPr>
                <w:b w:val="0"/>
                <w:sz w:val="19"/>
              </w:rPr>
            </w:r>
          </w:p>
        </w:tc>
        <w:tc>
          <w:tcPr>
            <w:tcW w:type="dxa" w:w="3009"/>
          </w:tcPr>
          <w:p>
            <w:r>
              <w:rPr>
                <w:b w:val="0"/>
                <w:sz w:val="19"/>
              </w:rPr>
              <w:t>Sec. 68–69 (supporting)</w:t>
            </w:r>
          </w:p>
        </w:tc>
        <w:tc>
          <w:tcPr>
            <w:tcW w:type="dxa" w:w="3009"/>
          </w:tcPr>
          <w:p>
            <w:r>
              <w:rPr>
                <w:b w:val="0"/>
                <w:sz w:val="19"/>
              </w:rPr>
              <w:t>Registrar’s superintendence / control over Sub-Registrars; IGR’s power to make rules (including appeal procedure).</w:t>
            </w:r>
          </w:p>
        </w:tc>
      </w:tr>
      <w:tr>
        <w:tc>
          <w:tcPr>
            <w:tcW w:type="dxa" w:w="3009"/>
          </w:tcPr>
          <w:p>
            <w:r>
              <w:rPr>
                <w:b w:val="0"/>
                <w:sz w:val="19"/>
              </w:rPr>
              <w:t>Registration (Karnataka Amendment) Act, 2023 (Karnataka Act 47 of 2024)</w:t>
            </w:r>
          </w:p>
        </w:tc>
        <w:tc>
          <w:tcPr>
            <w:tcW w:type="dxa" w:w="3009"/>
          </w:tcPr>
          <w:p>
            <w:r>
              <w:rPr>
                <w:b w:val="0"/>
                <w:sz w:val="19"/>
              </w:rPr>
              <w:t>Sec. 22-B</w:t>
            </w:r>
          </w:p>
        </w:tc>
        <w:tc>
          <w:tcPr>
            <w:tcW w:type="dxa" w:w="3009"/>
          </w:tcPr>
          <w:p>
            <w:r>
              <w:rPr>
                <w:b w:val="0"/>
                <w:sz w:val="19"/>
              </w:rPr>
              <w:t>Mandatory refusal to register forged documents, prohibited transactions, attached property transfers, and notified classes.</w:t>
            </w:r>
          </w:p>
        </w:tc>
      </w:tr>
      <w:tr>
        <w:tc>
          <w:tcPr>
            <w:tcW w:type="dxa" w:w="3009"/>
          </w:tcPr>
          <w:p>
            <w:r>
              <w:rPr>
                <w:b w:val="0"/>
                <w:sz w:val="19"/>
              </w:rPr>
            </w:r>
          </w:p>
        </w:tc>
        <w:tc>
          <w:tcPr>
            <w:tcW w:type="dxa" w:w="3009"/>
          </w:tcPr>
          <w:p>
            <w:r>
              <w:rPr>
                <w:b w:val="0"/>
                <w:sz w:val="19"/>
              </w:rPr>
              <w:t>Sec. 22-C</w:t>
            </w:r>
          </w:p>
        </w:tc>
        <w:tc>
          <w:tcPr>
            <w:tcW w:type="dxa" w:w="3009"/>
          </w:tcPr>
          <w:p>
            <w:r>
              <w:rPr>
                <w:b w:val="0"/>
                <w:sz w:val="19"/>
              </w:rPr>
              <w:t>District Registrar may cancel registration made in contravention of Sec. 22-B (suo motu or on complaint), after notice — cancellation entered in books/indexes.</w:t>
            </w:r>
          </w:p>
        </w:tc>
      </w:tr>
      <w:tr>
        <w:tc>
          <w:tcPr>
            <w:tcW w:type="dxa" w:w="3009"/>
          </w:tcPr>
          <w:p>
            <w:r>
              <w:rPr>
                <w:b w:val="0"/>
                <w:sz w:val="19"/>
              </w:rPr>
            </w:r>
          </w:p>
        </w:tc>
        <w:tc>
          <w:tcPr>
            <w:tcW w:type="dxa" w:w="3009"/>
          </w:tcPr>
          <w:p>
            <w:r>
              <w:rPr>
                <w:b w:val="0"/>
                <w:sz w:val="19"/>
              </w:rPr>
              <w:t>Sec. 22-D</w:t>
            </w:r>
          </w:p>
        </w:tc>
        <w:tc>
          <w:tcPr>
            <w:tcW w:type="dxa" w:w="3009"/>
          </w:tcPr>
          <w:p>
            <w:r>
              <w:rPr>
                <w:b w:val="0"/>
                <w:sz w:val="19"/>
              </w:rPr>
              <w:t>Appeal to Inspector General of Registration within 30 days from cancellation under Sec. 22-C; IGR may confirm, modify or cancel the District Registrar’s order.</w:t>
            </w:r>
          </w:p>
        </w:tc>
      </w:tr>
      <w:tr>
        <w:tc>
          <w:tcPr>
            <w:tcW w:type="dxa" w:w="3009"/>
          </w:tcPr>
          <w:p>
            <w:r>
              <w:rPr>
                <w:b w:val="0"/>
                <w:sz w:val="19"/>
              </w:rPr>
            </w:r>
          </w:p>
        </w:tc>
        <w:tc>
          <w:tcPr>
            <w:tcW w:type="dxa" w:w="3009"/>
          </w:tcPr>
          <w:p>
            <w:r>
              <w:rPr>
                <w:b w:val="0"/>
                <w:sz w:val="19"/>
              </w:rPr>
              <w:t>Sec. 69(1)(m) (inserted)</w:t>
            </w:r>
          </w:p>
        </w:tc>
        <w:tc>
          <w:tcPr>
            <w:tcW w:type="dxa" w:w="3009"/>
          </w:tcPr>
          <w:p>
            <w:r>
              <w:rPr>
                <w:b w:val="0"/>
                <w:sz w:val="19"/>
              </w:rPr>
              <w:t>IGR rule-making power for the process of cancellation under Sec. 22-C.</w:t>
            </w:r>
          </w:p>
        </w:tc>
      </w:tr>
    </w:tbl>
    <w:p/>
    <w:p>
      <w:pPr>
        <w:pStyle w:val="Heading4"/>
      </w:pPr>
      <w:r>
        <w:t>B. Will after the death of the testator</w:t>
      </w:r>
    </w:p>
    <w:tbl>
      <w:tblPr>
        <w:tblStyle w:val="TableGrid"/>
        <w:tblW w:type="auto" w:w="0"/>
        <w:tblLook w:firstColumn="1" w:firstRow="1" w:lastColumn="0" w:lastRow="0" w:noHBand="0" w:noVBand="1" w:val="04A0"/>
      </w:tblPr>
      <w:tblGrid>
        <w:gridCol w:w="3009"/>
        <w:gridCol w:w="3009"/>
        <w:gridCol w:w="3009"/>
      </w:tblGrid>
      <w:tr>
        <w:tc>
          <w:tcPr>
            <w:tcW w:type="dxa" w:w="3009"/>
            <w:shd w:fill="1F4E79" w:val="clear"/>
          </w:tcPr>
          <w:p>
            <w:r>
              <w:rPr>
                <w:b/>
                <w:color w:val="FFFFFF"/>
                <w:sz w:val="20"/>
              </w:rPr>
              <w:t>Act</w:t>
            </w:r>
          </w:p>
        </w:tc>
        <w:tc>
          <w:tcPr>
            <w:tcW w:type="dxa" w:w="3009"/>
            <w:shd w:fill="1F4E79" w:val="clear"/>
          </w:tcPr>
          <w:p>
            <w:r>
              <w:rPr>
                <w:b/>
                <w:color w:val="FFFFFF"/>
                <w:sz w:val="20"/>
              </w:rPr>
              <w:t>Sections</w:t>
            </w:r>
          </w:p>
        </w:tc>
        <w:tc>
          <w:tcPr>
            <w:tcW w:type="dxa" w:w="3009"/>
            <w:shd w:fill="1F4E79" w:val="clear"/>
          </w:tcPr>
          <w:p>
            <w:r>
              <w:rPr>
                <w:b/>
                <w:color w:val="FFFFFF"/>
                <w:sz w:val="20"/>
              </w:rPr>
              <w:t>Relevance</w:t>
            </w:r>
          </w:p>
        </w:tc>
      </w:tr>
      <w:tr>
        <w:tc>
          <w:tcPr>
            <w:tcW w:type="dxa" w:w="3009"/>
          </w:tcPr>
          <w:p>
            <w:r>
              <w:rPr>
                <w:b w:val="0"/>
                <w:sz w:val="19"/>
              </w:rPr>
              <w:t>The Registration Act, 1908</w:t>
            </w:r>
          </w:p>
        </w:tc>
        <w:tc>
          <w:tcPr>
            <w:tcW w:type="dxa" w:w="3009"/>
          </w:tcPr>
          <w:p>
            <w:r>
              <w:rPr>
                <w:b w:val="0"/>
                <w:sz w:val="19"/>
              </w:rPr>
              <w:t>Sec. 27</w:t>
            </w:r>
          </w:p>
        </w:tc>
        <w:tc>
          <w:tcPr>
            <w:tcW w:type="dxa" w:w="3009"/>
          </w:tcPr>
          <w:p>
            <w:r>
              <w:rPr>
                <w:b w:val="0"/>
                <w:sz w:val="19"/>
              </w:rPr>
              <w:t>A will may be presented for registration or deposited at any time (no ordinary four-month presentation bar).</w:t>
            </w:r>
          </w:p>
        </w:tc>
      </w:tr>
      <w:tr>
        <w:tc>
          <w:tcPr>
            <w:tcW w:type="dxa" w:w="3009"/>
          </w:tcPr>
          <w:p>
            <w:r>
              <w:rPr>
                <w:b w:val="0"/>
                <w:sz w:val="19"/>
              </w:rPr>
            </w:r>
          </w:p>
        </w:tc>
        <w:tc>
          <w:tcPr>
            <w:tcW w:type="dxa" w:w="3009"/>
          </w:tcPr>
          <w:p>
            <w:r>
              <w:rPr>
                <w:b w:val="0"/>
                <w:sz w:val="19"/>
              </w:rPr>
              <w:t>Sec. 40</w:t>
            </w:r>
          </w:p>
        </w:tc>
        <w:tc>
          <w:tcPr>
            <w:tcW w:type="dxa" w:w="3009"/>
          </w:tcPr>
          <w:p>
            <w:r>
              <w:rPr>
                <w:b w:val="0"/>
                <w:sz w:val="19"/>
              </w:rPr>
              <w:t>Who may present: the testator; or after his death any person claiming as executor or otherwise under the will. (Authority to adopt: donor / after death the donee or adoptive son.)</w:t>
            </w:r>
          </w:p>
        </w:tc>
      </w:tr>
      <w:tr>
        <w:tc>
          <w:tcPr>
            <w:tcW w:type="dxa" w:w="3009"/>
          </w:tcPr>
          <w:p>
            <w:r>
              <w:rPr>
                <w:b w:val="0"/>
                <w:sz w:val="19"/>
              </w:rPr>
            </w:r>
          </w:p>
        </w:tc>
        <w:tc>
          <w:tcPr>
            <w:tcW w:type="dxa" w:w="3009"/>
          </w:tcPr>
          <w:p>
            <w:r>
              <w:rPr>
                <w:b w:val="0"/>
                <w:sz w:val="19"/>
              </w:rPr>
              <w:t>Sec. 41(1)</w:t>
            </w:r>
          </w:p>
        </w:tc>
        <w:tc>
          <w:tcPr>
            <w:tcW w:type="dxa" w:w="3009"/>
          </w:tcPr>
          <w:p>
            <w:r>
              <w:rPr>
                <w:b w:val="0"/>
                <w:sz w:val="19"/>
              </w:rPr>
              <w:t>Will presented by the testator — registered like any other document.</w:t>
            </w:r>
          </w:p>
        </w:tc>
      </w:tr>
      <w:tr>
        <w:tc>
          <w:tcPr>
            <w:tcW w:type="dxa" w:w="3009"/>
          </w:tcPr>
          <w:p>
            <w:r>
              <w:rPr>
                <w:b w:val="0"/>
                <w:sz w:val="19"/>
              </w:rPr>
            </w:r>
          </w:p>
        </w:tc>
        <w:tc>
          <w:tcPr>
            <w:tcW w:type="dxa" w:w="3009"/>
          </w:tcPr>
          <w:p>
            <w:r>
              <w:rPr>
                <w:b w:val="0"/>
                <w:sz w:val="19"/>
              </w:rPr>
              <w:t>Sec. 41(2)</w:t>
            </w:r>
          </w:p>
        </w:tc>
        <w:tc>
          <w:tcPr>
            <w:tcW w:type="dxa" w:w="3009"/>
          </w:tcPr>
          <w:p>
            <w:r>
              <w:rPr>
                <w:b w:val="0"/>
                <w:sz w:val="19"/>
              </w:rPr>
              <w:t>Will presented after death by a person under Sec. 40 — register only if the Registering Officer is satisfied that: (a) the will was executed by the testator; (b) the testator is dead; and (c) the presentant is entitled under Sec. 40.</w:t>
            </w:r>
          </w:p>
        </w:tc>
      </w:tr>
      <w:tr>
        <w:tc>
          <w:tcPr>
            <w:tcW w:type="dxa" w:w="3009"/>
          </w:tcPr>
          <w:p>
            <w:r>
              <w:rPr>
                <w:b w:val="0"/>
                <w:sz w:val="19"/>
              </w:rPr>
            </w:r>
          </w:p>
        </w:tc>
        <w:tc>
          <w:tcPr>
            <w:tcW w:type="dxa" w:w="3009"/>
          </w:tcPr>
          <w:p>
            <w:r>
              <w:rPr>
                <w:b w:val="0"/>
                <w:sz w:val="19"/>
              </w:rPr>
              <w:t>Sec. 42–44</w:t>
            </w:r>
          </w:p>
        </w:tc>
        <w:tc>
          <w:tcPr>
            <w:tcW w:type="dxa" w:w="3009"/>
          </w:tcPr>
          <w:p>
            <w:r>
              <w:rPr>
                <w:b w:val="0"/>
                <w:sz w:val="19"/>
              </w:rPr>
              <w:t>Deposit of wills in sealed cover with Registrar (Book 5); withdrawal only by living testator / authorised agent.</w:t>
            </w:r>
          </w:p>
        </w:tc>
      </w:tr>
      <w:tr>
        <w:tc>
          <w:tcPr>
            <w:tcW w:type="dxa" w:w="3009"/>
          </w:tcPr>
          <w:p>
            <w:r>
              <w:rPr>
                <w:b w:val="0"/>
                <w:sz w:val="19"/>
              </w:rPr>
            </w:r>
          </w:p>
        </w:tc>
        <w:tc>
          <w:tcPr>
            <w:tcW w:type="dxa" w:w="3009"/>
          </w:tcPr>
          <w:p>
            <w:r>
              <w:rPr>
                <w:b w:val="0"/>
                <w:sz w:val="19"/>
              </w:rPr>
              <w:t>Sec. 45</w:t>
            </w:r>
          </w:p>
        </w:tc>
        <w:tc>
          <w:tcPr>
            <w:tcW w:type="dxa" w:w="3009"/>
          </w:tcPr>
          <w:p>
            <w:r>
              <w:rPr>
                <w:b w:val="0"/>
                <w:sz w:val="19"/>
              </w:rPr>
              <w:t>On death of depositor: if application is made and death is satisfied, Registrar opens the sealed cover in applicant’s presence, copies contents into Book No. 3 at applicant’s expense, and re-deposits the original will.</w:t>
            </w:r>
          </w:p>
        </w:tc>
      </w:tr>
      <w:tr>
        <w:tc>
          <w:tcPr>
            <w:tcW w:type="dxa" w:w="3009"/>
          </w:tcPr>
          <w:p>
            <w:r>
              <w:rPr>
                <w:b w:val="0"/>
                <w:sz w:val="19"/>
              </w:rPr>
            </w:r>
          </w:p>
        </w:tc>
        <w:tc>
          <w:tcPr>
            <w:tcW w:type="dxa" w:w="3009"/>
          </w:tcPr>
          <w:p>
            <w:r>
              <w:rPr>
                <w:b w:val="0"/>
                <w:sz w:val="19"/>
              </w:rPr>
              <w:t>Sec. 46</w:t>
            </w:r>
          </w:p>
        </w:tc>
        <w:tc>
          <w:tcPr>
            <w:tcW w:type="dxa" w:w="3009"/>
          </w:tcPr>
          <w:p>
            <w:r>
              <w:rPr>
                <w:b w:val="0"/>
                <w:sz w:val="19"/>
              </w:rPr>
              <w:t>Saving for Succession / Probate enactments and Court’s power to compel production of any will deposited / registered.</w:t>
            </w:r>
          </w:p>
        </w:tc>
      </w:tr>
      <w:tr>
        <w:tc>
          <w:tcPr>
            <w:tcW w:type="dxa" w:w="3009"/>
          </w:tcPr>
          <w:p>
            <w:r>
              <w:rPr>
                <w:b w:val="0"/>
                <w:sz w:val="19"/>
              </w:rPr>
            </w:r>
          </w:p>
        </w:tc>
        <w:tc>
          <w:tcPr>
            <w:tcW w:type="dxa" w:w="3009"/>
          </w:tcPr>
          <w:p>
            <w:r>
              <w:rPr>
                <w:b w:val="0"/>
                <w:sz w:val="19"/>
              </w:rPr>
              <w:t>Sec. 51 / Books 2, 3, 5</w:t>
            </w:r>
          </w:p>
        </w:tc>
        <w:tc>
          <w:tcPr>
            <w:tcW w:type="dxa" w:w="3009"/>
          </w:tcPr>
          <w:p>
            <w:r>
              <w:rPr>
                <w:b w:val="0"/>
                <w:sz w:val="19"/>
              </w:rPr>
              <w:t>Book 2 — reasons for refusal; Book 3 — Register of Wills and authorities to adopt; Book 5 — deposits of wills (with index).</w:t>
            </w:r>
          </w:p>
        </w:tc>
      </w:tr>
      <w:tr>
        <w:tc>
          <w:tcPr>
            <w:tcW w:type="dxa" w:w="3009"/>
          </w:tcPr>
          <w:p>
            <w:r>
              <w:rPr>
                <w:b w:val="0"/>
                <w:sz w:val="19"/>
              </w:rPr>
            </w:r>
          </w:p>
        </w:tc>
        <w:tc>
          <w:tcPr>
            <w:tcW w:type="dxa" w:w="3009"/>
          </w:tcPr>
          <w:p>
            <w:r>
              <w:rPr>
                <w:b w:val="0"/>
                <w:sz w:val="19"/>
              </w:rPr>
              <w:t>Sec. 71–77 (cross-link)</w:t>
            </w:r>
          </w:p>
        </w:tc>
        <w:tc>
          <w:tcPr>
            <w:tcW w:type="dxa" w:w="3009"/>
          </w:tcPr>
          <w:p>
            <w:r>
              <w:rPr>
                <w:b w:val="0"/>
                <w:sz w:val="19"/>
              </w:rPr>
              <w:t>Refusal to register a will after death can be challenged under Part XII; Rule 181 specially allows appeal/application by any executor named in the will.</w:t>
            </w:r>
          </w:p>
        </w:tc>
      </w:tr>
      <w:tr>
        <w:tc>
          <w:tcPr>
            <w:tcW w:type="dxa" w:w="3009"/>
          </w:tcPr>
          <w:p>
            <w:r>
              <w:rPr>
                <w:b w:val="0"/>
                <w:sz w:val="19"/>
              </w:rPr>
              <w:t>Indian Succession Act, 1925 (supporting)</w:t>
            </w:r>
          </w:p>
        </w:tc>
        <w:tc>
          <w:tcPr>
            <w:tcW w:type="dxa" w:w="3009"/>
          </w:tcPr>
          <w:p>
            <w:r>
              <w:rPr>
                <w:b w:val="0"/>
                <w:sz w:val="19"/>
              </w:rPr>
              <w:t>Cross-ref via Reg. Act Sec. 46</w:t>
            </w:r>
          </w:p>
        </w:tc>
        <w:tc>
          <w:tcPr>
            <w:tcW w:type="dxa" w:w="3009"/>
          </w:tcPr>
          <w:p>
            <w:r>
              <w:rPr>
                <w:b w:val="0"/>
                <w:sz w:val="19"/>
              </w:rPr>
              <w:t>Registration / deposit of a will does not replace probate where required; Court production of deposited wills remains available.</w:t>
            </w:r>
          </w:p>
        </w:tc>
      </w:tr>
    </w:tbl>
    <w:p/>
    <w:p>
      <w:pPr>
        <w:pStyle w:val="Heading3"/>
      </w:pPr>
      <w:r>
        <w:t>2. Primary Rules — Karnataka Registration Rules, 1965</w:t>
      </w:r>
    </w:p>
    <w:p>
      <w:pPr>
        <w:pStyle w:val="Heading4"/>
      </w:pPr>
      <w:r>
        <w:t>A. Registration Appeal (Ch. XXIV–XXV)</w:t>
      </w:r>
    </w:p>
    <w:tbl>
      <w:tblPr>
        <w:tblStyle w:val="TableGrid"/>
        <w:tblW w:type="auto" w:w="0"/>
        <w:tblLook w:firstColumn="1" w:firstRow="1" w:lastColumn="0" w:lastRow="0" w:noHBand="0" w:noVBand="1" w:val="04A0"/>
      </w:tblPr>
      <w:tblGrid>
        <w:gridCol w:w="3009"/>
        <w:gridCol w:w="3009"/>
        <w:gridCol w:w="3009"/>
      </w:tblGrid>
      <w:tr>
        <w:tc>
          <w:tcPr>
            <w:tcW w:type="dxa" w:w="3009"/>
            <w:shd w:fill="1F4E79" w:val="clear"/>
          </w:tcPr>
          <w:p>
            <w:r>
              <w:rPr>
                <w:b/>
                <w:color w:val="FFFFFF"/>
                <w:sz w:val="20"/>
              </w:rPr>
              <w:t>Rule</w:t>
            </w:r>
          </w:p>
        </w:tc>
        <w:tc>
          <w:tcPr>
            <w:tcW w:type="dxa" w:w="3009"/>
            <w:shd w:fill="1F4E79" w:val="clear"/>
          </w:tcPr>
          <w:p>
            <w:r>
              <w:rPr>
                <w:b/>
                <w:color w:val="FFFFFF"/>
                <w:sz w:val="20"/>
              </w:rPr>
              <w:t>Module mapping</w:t>
            </w:r>
          </w:p>
        </w:tc>
        <w:tc>
          <w:tcPr>
            <w:tcW w:type="dxa" w:w="3009"/>
            <w:shd w:fill="1F4E79" w:val="clear"/>
          </w:tcPr>
          <w:p>
            <w:r>
              <w:rPr>
                <w:b/>
                <w:color w:val="FFFFFF"/>
                <w:sz w:val="20"/>
              </w:rPr>
              <w:t>What it covers</w:t>
            </w:r>
          </w:p>
        </w:tc>
      </w:tr>
      <w:tr>
        <w:tc>
          <w:tcPr>
            <w:tcW w:type="dxa" w:w="3009"/>
          </w:tcPr>
          <w:p>
            <w:r>
              <w:rPr>
                <w:b w:val="0"/>
                <w:sz w:val="19"/>
              </w:rPr>
              <w:t>Rule 171 (Ch. XXIV)</w:t>
            </w:r>
          </w:p>
        </w:tc>
        <w:tc>
          <w:tcPr>
            <w:tcW w:type="dxa" w:w="3009"/>
          </w:tcPr>
          <w:p>
            <w:r>
              <w:rPr>
                <w:b w:val="0"/>
                <w:sz w:val="19"/>
              </w:rPr>
              <w:t>Refusal to register</w:t>
            </w:r>
          </w:p>
        </w:tc>
        <w:tc>
          <w:tcPr>
            <w:tcW w:type="dxa" w:w="3009"/>
          </w:tcPr>
          <w:p>
            <w:r>
              <w:rPr>
                <w:b w:val="0"/>
                <w:sz w:val="19"/>
              </w:rPr>
              <w:t>Reasons for refusal recorded at once in Book 2 — language (Sec. 19), interlineations (Sec. 20), description (Secs. 21–22 / Rule 15), maps (Sec. 21(4)), date of execution (Rule 50), time (Secs. 23–26, 72, 75, 77), appearance / denial (Secs. 34–35), identity, will/authority after death where Sec. 41(2) not satisfied, fees (Sec. 80), etc.</w:t>
            </w:r>
          </w:p>
        </w:tc>
      </w:tr>
      <w:tr>
        <w:tc>
          <w:tcPr>
            <w:tcW w:type="dxa" w:w="3009"/>
          </w:tcPr>
          <w:p>
            <w:r>
              <w:rPr>
                <w:b w:val="0"/>
                <w:sz w:val="19"/>
              </w:rPr>
              <w:t>Rules 172–174</w:t>
            </w:r>
          </w:p>
        </w:tc>
        <w:tc>
          <w:tcPr>
            <w:tcW w:type="dxa" w:w="3009"/>
          </w:tcPr>
          <w:p>
            <w:r>
              <w:rPr>
                <w:b w:val="0"/>
                <w:sz w:val="19"/>
              </w:rPr>
              <w:t>Refusal variants</w:t>
            </w:r>
          </w:p>
        </w:tc>
        <w:tc>
          <w:tcPr>
            <w:tcW w:type="dxa" w:w="3009"/>
          </w:tcPr>
          <w:p>
            <w:r>
              <w:rPr>
                <w:b w:val="0"/>
                <w:sz w:val="19"/>
              </w:rPr>
              <w:t>Executants appearing at different times; partial refusal; documents executed by registering officers.</w:t>
            </w:r>
          </w:p>
        </w:tc>
      </w:tr>
      <w:tr>
        <w:tc>
          <w:tcPr>
            <w:tcW w:type="dxa" w:w="3009"/>
          </w:tcPr>
          <w:p>
            <w:r>
              <w:rPr>
                <w:b w:val="0"/>
                <w:sz w:val="19"/>
              </w:rPr>
              <w:t>Rule 175</w:t>
            </w:r>
          </w:p>
        </w:tc>
        <w:tc>
          <w:tcPr>
            <w:tcW w:type="dxa" w:w="3009"/>
          </w:tcPr>
          <w:p>
            <w:r>
              <w:rPr>
                <w:b w:val="0"/>
                <w:sz w:val="19"/>
              </w:rPr>
              <w:t>Appeal / Sec. 73 application intake</w:t>
            </w:r>
          </w:p>
        </w:tc>
        <w:tc>
          <w:tcPr>
            <w:tcW w:type="dxa" w:w="3009"/>
          </w:tcPr>
          <w:p>
            <w:r>
              <w:rPr>
                <w:b w:val="0"/>
                <w:sz w:val="19"/>
              </w:rPr>
              <w:t>Appeal under Sec. 72 or application under Sec. 73 in writing to the District Registrar (or officer in charge), with copy of refusal order and the original document (time may be given to produce it).</w:t>
            </w:r>
          </w:p>
        </w:tc>
      </w:tr>
      <w:tr>
        <w:tc>
          <w:tcPr>
            <w:tcW w:type="dxa" w:w="3009"/>
          </w:tcPr>
          <w:p>
            <w:r>
              <w:rPr>
                <w:b w:val="0"/>
                <w:sz w:val="19"/>
              </w:rPr>
              <w:t>Rule 176</w:t>
            </w:r>
          </w:p>
        </w:tc>
        <w:tc>
          <w:tcPr>
            <w:tcW w:type="dxa" w:w="3009"/>
          </w:tcPr>
          <w:p>
            <w:r>
              <w:rPr>
                <w:b w:val="0"/>
                <w:sz w:val="19"/>
              </w:rPr>
              <w:t>Who may prefer</w:t>
            </w:r>
          </w:p>
        </w:tc>
        <w:tc>
          <w:tcPr>
            <w:tcW w:type="dxa" w:w="3009"/>
          </w:tcPr>
          <w:p>
            <w:r>
              <w:rPr>
                <w:b w:val="0"/>
                <w:sz w:val="19"/>
              </w:rPr>
              <w:t>Sec. 72 appeal by executant / claimant or duly authorised agent / vakil; Sec. 73 application by person claiming under the document or Sec. 33 agent. Not accepted by post.</w:t>
            </w:r>
          </w:p>
        </w:tc>
      </w:tr>
      <w:tr>
        <w:tc>
          <w:tcPr>
            <w:tcW w:type="dxa" w:w="3009"/>
          </w:tcPr>
          <w:p>
            <w:r>
              <w:rPr>
                <w:b w:val="0"/>
                <w:sz w:val="19"/>
              </w:rPr>
              <w:t>Rule 177</w:t>
            </w:r>
          </w:p>
        </w:tc>
        <w:tc>
          <w:tcPr>
            <w:tcW w:type="dxa" w:w="3009"/>
          </w:tcPr>
          <w:p>
            <w:r>
              <w:rPr>
                <w:b w:val="0"/>
                <w:sz w:val="19"/>
              </w:rPr>
              <w:t>Enquiry appearance (also wills)</w:t>
            </w:r>
          </w:p>
        </w:tc>
        <w:tc>
          <w:tcPr>
            <w:tcW w:type="dxa" w:w="3009"/>
          </w:tcPr>
          <w:p>
            <w:r>
              <w:rPr>
                <w:b w:val="0"/>
                <w:sz w:val="19"/>
              </w:rPr>
              <w:t>In Sec. 41(2) will enquiry, Sec. 72/73 appeal/application, or Sec. 74 enquiry — only Advocates Act-qualified vakils (or authenticated PoA agents) may appear.</w:t>
            </w:r>
          </w:p>
        </w:tc>
      </w:tr>
      <w:tr>
        <w:tc>
          <w:tcPr>
            <w:tcW w:type="dxa" w:w="3009"/>
          </w:tcPr>
          <w:p>
            <w:r>
              <w:rPr>
                <w:b w:val="0"/>
                <w:sz w:val="19"/>
              </w:rPr>
              <w:t>Rules 178–180</w:t>
            </w:r>
          </w:p>
        </w:tc>
        <w:tc>
          <w:tcPr>
            <w:tcW w:type="dxa" w:w="3009"/>
          </w:tcPr>
          <w:p>
            <w:r>
              <w:rPr>
                <w:b w:val="0"/>
                <w:sz w:val="19"/>
              </w:rPr>
              <w:t>Appeal disposal</w:t>
            </w:r>
          </w:p>
        </w:tc>
        <w:tc>
          <w:tcPr>
            <w:tcW w:type="dxa" w:w="3009"/>
          </w:tcPr>
          <w:p>
            <w:r>
              <w:rPr>
                <w:b w:val="0"/>
                <w:sz w:val="19"/>
              </w:rPr>
              <w:t>Unverified Sec. 73 applications may be returned for verification; hearing dates; refusal to direct registration recorded in Book 2; order on appeal/application is not endorsed on the document but kept with case records.</w:t>
            </w:r>
          </w:p>
        </w:tc>
      </w:tr>
      <w:tr>
        <w:tc>
          <w:tcPr>
            <w:tcW w:type="dxa" w:w="3009"/>
          </w:tcPr>
          <w:p>
            <w:r>
              <w:rPr>
                <w:b w:val="0"/>
                <w:sz w:val="19"/>
              </w:rPr>
              <w:t>Rule 181</w:t>
            </w:r>
          </w:p>
        </w:tc>
        <w:tc>
          <w:tcPr>
            <w:tcW w:type="dxa" w:w="3009"/>
          </w:tcPr>
          <w:p>
            <w:r>
              <w:rPr>
                <w:b w:val="0"/>
                <w:sz w:val="19"/>
              </w:rPr>
              <w:t>Appeal — will after death</w:t>
            </w:r>
          </w:p>
        </w:tc>
        <w:tc>
          <w:tcPr>
            <w:tcW w:type="dxa" w:w="3009"/>
          </w:tcPr>
          <w:p>
            <w:r>
              <w:rPr>
                <w:b w:val="0"/>
                <w:sz w:val="19"/>
              </w:rPr>
              <w:t>Appeal/application against refusal to register a will presented after the testator’s death may be preferred by any executor appointed under the will.</w:t>
            </w:r>
          </w:p>
        </w:tc>
      </w:tr>
      <w:tr>
        <w:tc>
          <w:tcPr>
            <w:tcW w:type="dxa" w:w="3009"/>
          </w:tcPr>
          <w:p>
            <w:r>
              <w:rPr>
                <w:b w:val="0"/>
                <w:sz w:val="19"/>
              </w:rPr>
              <w:t>Rules 182–188</w:t>
            </w:r>
          </w:p>
        </w:tc>
        <w:tc>
          <w:tcPr>
            <w:tcW w:type="dxa" w:w="3009"/>
          </w:tcPr>
          <w:p>
            <w:r>
              <w:rPr>
                <w:b w:val="0"/>
                <w:sz w:val="19"/>
              </w:rPr>
              <w:t>Orders &amp; post-order registration</w:t>
            </w:r>
          </w:p>
        </w:tc>
        <w:tc>
          <w:tcPr>
            <w:tcW w:type="dxa" w:w="3009"/>
          </w:tcPr>
          <w:p>
            <w:r>
              <w:rPr>
                <w:b w:val="0"/>
                <w:sz w:val="19"/>
              </w:rPr>
              <w:t>Non-appearance of executant (Sec. 72 vs Sec. 73 path); communication of orders; registration when ordered by Registrar or Court (endorsements); file of appeal orders/judgments; Book 2 notes when Registrar refuses to direct registration.</w:t>
            </w:r>
          </w:p>
        </w:tc>
      </w:tr>
      <w:tr>
        <w:tc>
          <w:tcPr>
            <w:tcW w:type="dxa" w:w="3009"/>
          </w:tcPr>
          <w:p>
            <w:r>
              <w:rPr>
                <w:b w:val="0"/>
                <w:sz w:val="19"/>
              </w:rPr>
              <w:t>Rules 189–191</w:t>
            </w:r>
          </w:p>
        </w:tc>
        <w:tc>
          <w:tcPr>
            <w:tcW w:type="dxa" w:w="3009"/>
          </w:tcPr>
          <w:p>
            <w:r>
              <w:rPr>
                <w:b w:val="0"/>
                <w:sz w:val="19"/>
              </w:rPr>
              <w:t>Limits on Registrar</w:t>
            </w:r>
          </w:p>
        </w:tc>
        <w:tc>
          <w:tcPr>
            <w:tcW w:type="dxa" w:w="3009"/>
          </w:tcPr>
          <w:p>
            <w:r>
              <w:rPr>
                <w:b w:val="0"/>
                <w:sz w:val="19"/>
              </w:rPr>
              <w:t>No power on appeal to call for property description; no appeal when document returned at presentant’s request; limitation on appeals to Registrar against Sub-Registrar.</w:t>
            </w:r>
          </w:p>
        </w:tc>
      </w:tr>
      <w:tr>
        <w:tc>
          <w:tcPr>
            <w:tcW w:type="dxa" w:w="3009"/>
          </w:tcPr>
          <w:p>
            <w:r>
              <w:rPr>
                <w:b w:val="0"/>
                <w:sz w:val="19"/>
              </w:rPr>
              <w:t>Rule 18 / Rule 109 (supporting)</w:t>
            </w:r>
          </w:p>
        </w:tc>
        <w:tc>
          <w:tcPr>
            <w:tcW w:type="dxa" w:w="3009"/>
          </w:tcPr>
          <w:p>
            <w:r>
              <w:rPr>
                <w:b w:val="0"/>
                <w:sz w:val="19"/>
              </w:rPr>
              <w:t>Court / Registrar-ordered registration</w:t>
            </w:r>
          </w:p>
        </w:tc>
        <w:tc>
          <w:tcPr>
            <w:tcW w:type="dxa" w:w="3009"/>
          </w:tcPr>
          <w:p>
            <w:r>
              <w:rPr>
                <w:b w:val="0"/>
                <w:sz w:val="19"/>
              </w:rPr>
              <w:t>Filing of Registrar’s order or Court decree; endorsement when document is presented under such order.</w:t>
            </w:r>
          </w:p>
        </w:tc>
      </w:tr>
      <w:tr>
        <w:tc>
          <w:tcPr>
            <w:tcW w:type="dxa" w:w="3009"/>
          </w:tcPr>
          <w:p>
            <w:r>
              <w:rPr>
                <w:b w:val="0"/>
                <w:sz w:val="19"/>
              </w:rPr>
              <w:t>Rule 23 (Minute Book)</w:t>
            </w:r>
          </w:p>
        </w:tc>
        <w:tc>
          <w:tcPr>
            <w:tcW w:type="dxa" w:w="3009"/>
          </w:tcPr>
          <w:p>
            <w:r>
              <w:rPr>
                <w:b w:val="0"/>
                <w:sz w:val="19"/>
              </w:rPr>
              <w:t>Office record</w:t>
            </w:r>
          </w:p>
        </w:tc>
        <w:tc>
          <w:tcPr>
            <w:tcW w:type="dxa" w:w="3009"/>
          </w:tcPr>
          <w:p>
            <w:r>
              <w:rPr>
                <w:b w:val="0"/>
                <w:sz w:val="19"/>
              </w:rPr>
              <w:t>Note suspension, refusal, summons, withdrawal and related events.</w:t>
            </w:r>
          </w:p>
        </w:tc>
      </w:tr>
    </w:tbl>
    <w:p/>
    <w:p>
      <w:pPr>
        <w:pStyle w:val="Heading4"/>
      </w:pPr>
      <w:r>
        <w:t>B. Will after the death of the testator (Ch. XIV–XV)</w:t>
      </w:r>
    </w:p>
    <w:tbl>
      <w:tblPr>
        <w:tblStyle w:val="TableGrid"/>
        <w:tblW w:type="auto" w:w="0"/>
        <w:tblLook w:firstColumn="1" w:firstRow="1" w:lastColumn="0" w:lastRow="0" w:noHBand="0" w:noVBand="1" w:val="04A0"/>
      </w:tblPr>
      <w:tblGrid>
        <w:gridCol w:w="3009"/>
        <w:gridCol w:w="3009"/>
        <w:gridCol w:w="3009"/>
      </w:tblGrid>
      <w:tr>
        <w:tc>
          <w:tcPr>
            <w:tcW w:type="dxa" w:w="3009"/>
            <w:shd w:fill="1F4E79" w:val="clear"/>
          </w:tcPr>
          <w:p>
            <w:r>
              <w:rPr>
                <w:b/>
                <w:color w:val="FFFFFF"/>
                <w:sz w:val="20"/>
              </w:rPr>
              <w:t>Rule</w:t>
            </w:r>
          </w:p>
        </w:tc>
        <w:tc>
          <w:tcPr>
            <w:tcW w:type="dxa" w:w="3009"/>
            <w:shd w:fill="1F4E79" w:val="clear"/>
          </w:tcPr>
          <w:p>
            <w:r>
              <w:rPr>
                <w:b/>
                <w:color w:val="FFFFFF"/>
                <w:sz w:val="20"/>
              </w:rPr>
              <w:t>Module mapping</w:t>
            </w:r>
          </w:p>
        </w:tc>
        <w:tc>
          <w:tcPr>
            <w:tcW w:type="dxa" w:w="3009"/>
            <w:shd w:fill="1F4E79" w:val="clear"/>
          </w:tcPr>
          <w:p>
            <w:r>
              <w:rPr>
                <w:b/>
                <w:color w:val="FFFFFF"/>
                <w:sz w:val="20"/>
              </w:rPr>
              <w:t>What it covers</w:t>
            </w:r>
          </w:p>
        </w:tc>
      </w:tr>
      <w:tr>
        <w:tc>
          <w:tcPr>
            <w:tcW w:type="dxa" w:w="3009"/>
          </w:tcPr>
          <w:p>
            <w:r>
              <w:rPr>
                <w:b w:val="0"/>
                <w:sz w:val="19"/>
              </w:rPr>
              <w:t>Rule 83</w:t>
            </w:r>
          </w:p>
        </w:tc>
        <w:tc>
          <w:tcPr>
            <w:tcW w:type="dxa" w:w="3009"/>
          </w:tcPr>
          <w:p>
            <w:r>
              <w:rPr>
                <w:b w:val="0"/>
                <w:sz w:val="19"/>
              </w:rPr>
              <w:t>Will / authority after death — Sec. 41(2) enquiry</w:t>
            </w:r>
          </w:p>
        </w:tc>
        <w:tc>
          <w:tcPr>
            <w:tcW w:type="dxa" w:w="3009"/>
          </w:tcPr>
          <w:p>
            <w:r>
              <w:rPr>
                <w:b w:val="0"/>
                <w:sz w:val="19"/>
              </w:rPr>
              <w:t>Registering Officer must be satisfied on: (a) execution by testator/donor; (b) death; (c) presentant is claimant/executor (or adoptee). Record deposition of presentant and identifying witnesses on the will; prescribed satisfaction endorsement.</w:t>
            </w:r>
          </w:p>
        </w:tc>
      </w:tr>
      <w:tr>
        <w:tc>
          <w:tcPr>
            <w:tcW w:type="dxa" w:w="3009"/>
          </w:tcPr>
          <w:p>
            <w:r>
              <w:rPr>
                <w:b w:val="0"/>
                <w:sz w:val="19"/>
              </w:rPr>
              <w:t>Rule 84</w:t>
            </w:r>
          </w:p>
        </w:tc>
        <w:tc>
          <w:tcPr>
            <w:tcW w:type="dxa" w:w="3009"/>
          </w:tcPr>
          <w:p>
            <w:r>
              <w:rPr>
                <w:b w:val="0"/>
                <w:sz w:val="19"/>
              </w:rPr>
              <w:t>Unregistered will after death</w:t>
            </w:r>
          </w:p>
        </w:tc>
        <w:tc>
          <w:tcPr>
            <w:tcW w:type="dxa" w:w="3009"/>
          </w:tcPr>
          <w:p>
            <w:r>
              <w:rPr>
                <w:b w:val="0"/>
                <w:sz w:val="19"/>
              </w:rPr>
              <w:t>Return of will / authority to adopt after death of testator when still unregistered — custody / return procedure.</w:t>
            </w:r>
          </w:p>
        </w:tc>
      </w:tr>
      <w:tr>
        <w:tc>
          <w:tcPr>
            <w:tcW w:type="dxa" w:w="3009"/>
          </w:tcPr>
          <w:p>
            <w:r>
              <w:rPr>
                <w:b w:val="0"/>
                <w:sz w:val="19"/>
              </w:rPr>
              <w:t>Rule 85</w:t>
            </w:r>
          </w:p>
        </w:tc>
        <w:tc>
          <w:tcPr>
            <w:tcW w:type="dxa" w:w="3009"/>
          </w:tcPr>
          <w:p>
            <w:r>
              <w:rPr>
                <w:b w:val="0"/>
                <w:sz w:val="19"/>
              </w:rPr>
              <w:t>Revocation / cancellation of will</w:t>
            </w:r>
          </w:p>
        </w:tc>
        <w:tc>
          <w:tcPr>
            <w:tcW w:type="dxa" w:w="3009"/>
          </w:tcPr>
          <w:p>
            <w:r>
              <w:rPr>
                <w:b w:val="0"/>
                <w:sz w:val="19"/>
              </w:rPr>
              <w:t>Revocation or cancellation of a will or authority to adopt is treated as a distinct instrument and registered in Book 3.</w:t>
            </w:r>
          </w:p>
        </w:tc>
      </w:tr>
      <w:tr>
        <w:tc>
          <w:tcPr>
            <w:tcW w:type="dxa" w:w="3009"/>
          </w:tcPr>
          <w:p>
            <w:r>
              <w:rPr>
                <w:b w:val="0"/>
                <w:sz w:val="19"/>
              </w:rPr>
              <w:t>Rule 86</w:t>
            </w:r>
          </w:p>
        </w:tc>
        <w:tc>
          <w:tcPr>
            <w:tcW w:type="dxa" w:w="3009"/>
          </w:tcPr>
          <w:p>
            <w:r>
              <w:rPr>
                <w:b w:val="0"/>
                <w:sz w:val="19"/>
              </w:rPr>
              <w:t>Unclaimed wills</w:t>
            </w:r>
          </w:p>
        </w:tc>
        <w:tc>
          <w:tcPr>
            <w:tcW w:type="dxa" w:w="3009"/>
          </w:tcPr>
          <w:p>
            <w:r>
              <w:rPr>
                <w:b w:val="0"/>
                <w:sz w:val="19"/>
              </w:rPr>
              <w:t>Wills registered or refused that remain unclaimed beyond the prescribed period — transfer / safe custody (see also Rule 223).</w:t>
            </w:r>
          </w:p>
        </w:tc>
      </w:tr>
      <w:tr>
        <w:tc>
          <w:tcPr>
            <w:tcW w:type="dxa" w:w="3009"/>
          </w:tcPr>
          <w:p>
            <w:r>
              <w:rPr>
                <w:b w:val="0"/>
                <w:sz w:val="19"/>
              </w:rPr>
              <w:t>Rules 87–88 (Ch. XV)</w:t>
            </w:r>
          </w:p>
        </w:tc>
        <w:tc>
          <w:tcPr>
            <w:tcW w:type="dxa" w:w="3009"/>
          </w:tcPr>
          <w:p>
            <w:r>
              <w:rPr>
                <w:b w:val="0"/>
                <w:sz w:val="19"/>
              </w:rPr>
              <w:t>Sealed covers — Book 5</w:t>
            </w:r>
          </w:p>
        </w:tc>
        <w:tc>
          <w:tcPr>
            <w:tcW w:type="dxa" w:w="3009"/>
          </w:tcPr>
          <w:p>
            <w:r>
              <w:rPr>
                <w:b w:val="0"/>
                <w:sz w:val="19"/>
              </w:rPr>
              <w:t>Entries under Sec. 43 in Book 5; joint wills deposited by both testators; withdrawal endorsements.</w:t>
            </w:r>
          </w:p>
        </w:tc>
      </w:tr>
      <w:tr>
        <w:tc>
          <w:tcPr>
            <w:tcW w:type="dxa" w:w="3009"/>
          </w:tcPr>
          <w:p>
            <w:r>
              <w:rPr>
                <w:b w:val="0"/>
                <w:sz w:val="19"/>
              </w:rPr>
              <w:t>Rule 89</w:t>
            </w:r>
          </w:p>
        </w:tc>
        <w:tc>
          <w:tcPr>
            <w:tcW w:type="dxa" w:w="3009"/>
          </w:tcPr>
          <w:p>
            <w:r>
              <w:rPr>
                <w:b w:val="0"/>
                <w:sz w:val="19"/>
              </w:rPr>
              <w:t>Wills by post</w:t>
            </w:r>
          </w:p>
        </w:tc>
        <w:tc>
          <w:tcPr>
            <w:tcW w:type="dxa" w:w="3009"/>
          </w:tcPr>
          <w:p>
            <w:r>
              <w:rPr>
                <w:b w:val="0"/>
                <w:sz w:val="19"/>
              </w:rPr>
              <w:t>Wills sent by post are not “presented” or “deposited” under the Act — return unopened / retain only per prescribed exceptions.</w:t>
            </w:r>
          </w:p>
        </w:tc>
      </w:tr>
      <w:tr>
        <w:tc>
          <w:tcPr>
            <w:tcW w:type="dxa" w:w="3009"/>
          </w:tcPr>
          <w:p>
            <w:r>
              <w:rPr>
                <w:b w:val="0"/>
                <w:sz w:val="19"/>
              </w:rPr>
              <w:t>Rules 90–93</w:t>
            </w:r>
          </w:p>
        </w:tc>
        <w:tc>
          <w:tcPr>
            <w:tcW w:type="dxa" w:w="3009"/>
          </w:tcPr>
          <w:p>
            <w:r>
              <w:rPr>
                <w:b w:val="0"/>
                <w:sz w:val="19"/>
              </w:rPr>
              <w:t>Opening sealed cover on death / Court</w:t>
            </w:r>
          </w:p>
        </w:tc>
        <w:tc>
          <w:tcPr>
            <w:tcW w:type="dxa" w:w="3009"/>
          </w:tcPr>
          <w:p>
            <w:r>
              <w:rPr>
                <w:b w:val="0"/>
                <w:sz w:val="19"/>
              </w:rPr>
              <w:t>Endorsements when opened under Sec. 45 (death) or Sec. 46 (Court order); copy into Book 3; forwardal to Court with fee memo and acknowledgment.</w:t>
            </w:r>
          </w:p>
        </w:tc>
      </w:tr>
      <w:tr>
        <w:tc>
          <w:tcPr>
            <w:tcW w:type="dxa" w:w="3009"/>
          </w:tcPr>
          <w:p>
            <w:r>
              <w:rPr>
                <w:b w:val="0"/>
                <w:sz w:val="19"/>
              </w:rPr>
              <w:t>Index No. III (Rules on indexes)</w:t>
            </w:r>
          </w:p>
        </w:tc>
        <w:tc>
          <w:tcPr>
            <w:tcW w:type="dxa" w:w="3009"/>
          </w:tcPr>
          <w:p>
            <w:r>
              <w:rPr>
                <w:b w:val="0"/>
                <w:sz w:val="19"/>
              </w:rPr>
              <w:t>Search / certified copy</w:t>
            </w:r>
          </w:p>
        </w:tc>
        <w:tc>
          <w:tcPr>
            <w:tcW w:type="dxa" w:w="3009"/>
          </w:tcPr>
          <w:p>
            <w:r>
              <w:rPr>
                <w:b w:val="0"/>
                <w:sz w:val="19"/>
              </w:rPr>
              <w:t>Index III for wills — executor / guardian columns; death particulars when known.</w:t>
            </w:r>
          </w:p>
        </w:tc>
      </w:tr>
      <w:tr>
        <w:tc>
          <w:tcPr>
            <w:tcW w:type="dxa" w:w="3009"/>
          </w:tcPr>
          <w:p>
            <w:r>
              <w:rPr>
                <w:b w:val="0"/>
                <w:sz w:val="19"/>
              </w:rPr>
              <w:t>Rule 223</w:t>
            </w:r>
          </w:p>
        </w:tc>
        <w:tc>
          <w:tcPr>
            <w:tcW w:type="dxa" w:w="3009"/>
          </w:tcPr>
          <w:p>
            <w:r>
              <w:rPr>
                <w:b w:val="0"/>
                <w:sz w:val="19"/>
              </w:rPr>
              <w:t>Safe custody of belated wills</w:t>
            </w:r>
          </w:p>
        </w:tc>
        <w:tc>
          <w:tcPr>
            <w:tcW w:type="dxa" w:w="3009"/>
          </w:tcPr>
          <w:p>
            <w:r>
              <w:rPr>
                <w:b w:val="0"/>
                <w:sz w:val="19"/>
              </w:rPr>
              <w:t>Unclaimed wills / cancellations over two years in Sub-Registry to be transferred for safe custody.</w:t>
            </w:r>
          </w:p>
        </w:tc>
      </w:tr>
    </w:tbl>
    <w:p/>
    <w:p>
      <w:pPr>
        <w:pStyle w:val="Heading3"/>
      </w:pPr>
      <w:r>
        <w:t>3. Notifications / amendments</w:t>
      </w:r>
    </w:p>
    <w:tbl>
      <w:tblPr>
        <w:tblStyle w:val="TableGrid"/>
        <w:tblW w:type="auto" w:w="0"/>
        <w:tblLook w:firstColumn="1" w:firstRow="1" w:lastColumn="0" w:lastRow="0" w:noHBand="0" w:noVBand="1" w:val="04A0"/>
      </w:tblPr>
      <w:tblGrid>
        <w:gridCol w:w="4513"/>
        <w:gridCol w:w="4513"/>
      </w:tblGrid>
      <w:tr>
        <w:tc>
          <w:tcPr>
            <w:tcW w:type="dxa" w:w="4513"/>
            <w:shd w:fill="1F4E79" w:val="clear"/>
          </w:tcPr>
          <w:p>
            <w:r>
              <w:rPr>
                <w:b/>
                <w:color w:val="FFFFFF"/>
                <w:sz w:val="20"/>
              </w:rPr>
              <w:t>Notification / instrument</w:t>
            </w:r>
          </w:p>
        </w:tc>
        <w:tc>
          <w:tcPr>
            <w:tcW w:type="dxa" w:w="4513"/>
            <w:shd w:fill="1F4E79" w:val="clear"/>
          </w:tcPr>
          <w:p>
            <w:r>
              <w:rPr>
                <w:b/>
                <w:color w:val="FFFFFF"/>
                <w:sz w:val="20"/>
              </w:rPr>
              <w:t>Effect for this topic</w:t>
            </w:r>
          </w:p>
        </w:tc>
      </w:tr>
      <w:tr>
        <w:tc>
          <w:tcPr>
            <w:tcW w:type="dxa" w:w="4513"/>
          </w:tcPr>
          <w:p>
            <w:r>
              <w:rPr>
                <w:b w:val="0"/>
                <w:sz w:val="19"/>
              </w:rPr>
              <w:t>Karnataka Registration Rules, 1965 (under Registration Act Sec. 69)</w:t>
            </w:r>
          </w:p>
        </w:tc>
        <w:tc>
          <w:tcPr>
            <w:tcW w:type="dxa" w:w="4513"/>
          </w:tcPr>
          <w:p>
            <w:r>
              <w:rPr>
                <w:b w:val="0"/>
                <w:sz w:val="19"/>
              </w:rPr>
              <w:t>Parent instrument for Ch. XIV (Wills), Ch. XV (Sealed covers), Ch. XXIV (Refusal) and Ch. XXV (Appeals and Enquiries).</w:t>
            </w:r>
          </w:p>
        </w:tc>
      </w:tr>
      <w:tr>
        <w:tc>
          <w:tcPr>
            <w:tcW w:type="dxa" w:w="4513"/>
          </w:tcPr>
          <w:p>
            <w:r>
              <w:rPr>
                <w:b w:val="0"/>
                <w:sz w:val="19"/>
              </w:rPr>
              <w:t>Registration (Karnataka Amendment) Act, 2023 (Karnataka Act 47 of 2024) — Gazette Extra-ordinary No. 480, Part IVA, 19-10-2024 (President’s assent 08-10-2024)</w:t>
            </w:r>
          </w:p>
        </w:tc>
        <w:tc>
          <w:tcPr>
            <w:tcW w:type="dxa" w:w="4513"/>
          </w:tcPr>
          <w:p>
            <w:r>
              <w:rPr>
                <w:b w:val="0"/>
                <w:sz w:val="19"/>
              </w:rPr>
              <w:t>Inserts Secs. 22-B, 22-C, 22-D (refusal / cancellation / IGR appeal), Sec. 69(1)(m), and Secs. 81-A / 81-B. Commencement on date appointed by State Government notification.</w:t>
            </w:r>
          </w:p>
        </w:tc>
      </w:tr>
      <w:tr>
        <w:tc>
          <w:tcPr>
            <w:tcW w:type="dxa" w:w="4513"/>
          </w:tcPr>
          <w:p>
            <w:r>
              <w:rPr>
                <w:b w:val="0"/>
                <w:sz w:val="19"/>
              </w:rPr>
              <w:t>Sec. 69(1)(m) rules (to be notified)</w:t>
            </w:r>
          </w:p>
        </w:tc>
        <w:tc>
          <w:tcPr>
            <w:tcW w:type="dxa" w:w="4513"/>
          </w:tcPr>
          <w:p>
            <w:r>
              <w:rPr>
                <w:b w:val="0"/>
                <w:sz w:val="19"/>
              </w:rPr>
              <w:t>Rules regulating cancellation process under Sec. 22-C — confirm whether State notification / IGR rules have been issued before building the cancellation–appeal workflow.</w:t>
            </w:r>
          </w:p>
        </w:tc>
      </w:tr>
      <w:tr>
        <w:tc>
          <w:tcPr>
            <w:tcW w:type="dxa" w:w="4513"/>
          </w:tcPr>
          <w:p>
            <w:r>
              <w:rPr>
                <w:b w:val="0"/>
                <w:sz w:val="19"/>
              </w:rPr>
              <w:t>Table of Registration Fees — Notification No. RD 403 ESR 85 (27 May 1986) as amended</w:t>
            </w:r>
          </w:p>
        </w:tc>
        <w:tc>
          <w:tcPr>
            <w:tcW w:type="dxa" w:w="4513"/>
          </w:tcPr>
          <w:p>
            <w:r>
              <w:rPr>
                <w:b w:val="0"/>
                <w:sz w:val="19"/>
              </w:rPr>
              <w:t>Fee articles for registration, appeals/applications, searches and copies (Book 2 / Book 3 / Book 5 extracts).</w:t>
            </w:r>
          </w:p>
        </w:tc>
      </w:tr>
      <w:tr>
        <w:tc>
          <w:tcPr>
            <w:tcW w:type="dxa" w:w="4513"/>
          </w:tcPr>
          <w:p>
            <w:r>
              <w:rPr>
                <w:b w:val="0"/>
                <w:sz w:val="19"/>
              </w:rPr>
              <w:t>RD/46/MNMU/2025 (29-08-2025; w.e.f. 31-08-2025)</w:t>
            </w:r>
          </w:p>
        </w:tc>
        <w:tc>
          <w:tcPr>
            <w:tcW w:type="dxa" w:w="4513"/>
          </w:tcPr>
          <w:p>
            <w:r>
              <w:rPr>
                <w:b w:val="0"/>
                <w:sz w:val="19"/>
              </w:rPr>
              <w:t>Substitutes fee rates in Article I(4)(a) and III(a)(i)/(ii) of the Table of Fees — applies to fee columns on appeal / will / certified-copy screens.</w:t>
            </w:r>
          </w:p>
        </w:tc>
      </w:tr>
      <w:tr>
        <w:tc>
          <w:tcPr>
            <w:tcW w:type="dxa" w:w="4513"/>
          </w:tcPr>
          <w:p>
            <w:r>
              <w:rPr>
                <w:b w:val="0"/>
                <w:sz w:val="19"/>
              </w:rPr>
              <w:t>RGN 2/2002-03 (1 Apr 2002; w.e.f. 4 Apr 2002) and related document-sheet notifications</w:t>
            </w:r>
          </w:p>
        </w:tc>
        <w:tc>
          <w:tcPr>
            <w:tcW w:type="dxa" w:w="4513"/>
          </w:tcPr>
          <w:p>
            <w:r>
              <w:rPr>
                <w:b w:val="0"/>
                <w:sz w:val="19"/>
              </w:rPr>
              <w:t>Document sheets / photography / biometric capture rules that also apply when a will is presented after death or when registration is ordered after appeal.</w:t>
            </w:r>
          </w:p>
        </w:tc>
      </w:tr>
    </w:tbl>
    <w:p/>
    <w:p>
      <w:pPr>
        <w:pStyle w:val="Heading3"/>
      </w:pPr>
      <w:r>
        <w:t>Pain Points (ServiceDesk — indicative)</w:t>
      </w:r>
    </w:p>
    <w:p>
      <w:r>
        <w:t>Few tickets are explicitly titled “appeal”; will / Book-3 issues surface mainly as payment and certified-copy failures:</w:t>
      </w:r>
    </w:p>
    <w:tbl>
      <w:tblPr>
        <w:tblStyle w:val="TableGrid"/>
        <w:tblW w:type="auto" w:w="0"/>
        <w:tblLook w:firstColumn="1" w:firstRow="1" w:lastColumn="0" w:lastRow="0" w:noHBand="0" w:noVBand="1" w:val="04A0"/>
      </w:tblPr>
      <w:tblGrid>
        <w:gridCol w:w="4513"/>
        <w:gridCol w:w="4513"/>
      </w:tblGrid>
      <w:tr>
        <w:tc>
          <w:tcPr>
            <w:tcW w:type="dxa" w:w="4513"/>
            <w:shd w:fill="1F4E79" w:val="clear"/>
          </w:tcPr>
          <w:p>
            <w:r>
              <w:rPr>
                <w:b/>
                <w:color w:val="FFFFFF"/>
                <w:sz w:val="20"/>
              </w:rPr>
              <w:t>Pain point</w:t>
            </w:r>
          </w:p>
        </w:tc>
        <w:tc>
          <w:tcPr>
            <w:tcW w:type="dxa" w:w="4513"/>
            <w:shd w:fill="1F4E79" w:val="clear"/>
          </w:tcPr>
          <w:p>
            <w:r>
              <w:rPr>
                <w:b/>
                <w:color w:val="FFFFFF"/>
                <w:sz w:val="20"/>
              </w:rPr>
              <w:t>Evidence</w:t>
            </w:r>
          </w:p>
        </w:tc>
      </w:tr>
      <w:tr>
        <w:tc>
          <w:tcPr>
            <w:tcW w:type="dxa" w:w="4513"/>
          </w:tcPr>
          <w:p>
            <w:r>
              <w:rPr>
                <w:b w:val="0"/>
                <w:sz w:val="19"/>
              </w:rPr>
              <w:t>Payment related issue for WILL</w:t>
            </w:r>
          </w:p>
        </w:tc>
        <w:tc>
          <w:tcPr>
            <w:tcW w:type="dxa" w:w="4513"/>
          </w:tcPr>
          <w:p>
            <w:r>
              <w:rPr>
                <w:b w:val="0"/>
                <w:sz w:val="19"/>
              </w:rPr>
              <w:t>28795</w:t>
            </w:r>
          </w:p>
        </w:tc>
      </w:tr>
      <w:tr>
        <w:tc>
          <w:tcPr>
            <w:tcW w:type="dxa" w:w="4513"/>
          </w:tcPr>
          <w:p>
            <w:r>
              <w:rPr>
                <w:b w:val="0"/>
                <w:sz w:val="19"/>
              </w:rPr>
              <w:t>Unable to download Book 3 and Book 4 documents (certified copies of wills / miscellaneous register)</w:t>
            </w:r>
          </w:p>
        </w:tc>
        <w:tc>
          <w:tcPr>
            <w:tcW w:type="dxa" w:w="4513"/>
          </w:tcPr>
          <w:p>
            <w:r>
              <w:rPr>
                <w:b w:val="0"/>
                <w:sz w:val="19"/>
              </w:rPr>
              <w:t>Categorized: 92626, 87534, 82435, 78789; also 29879, 29938, 31252</w:t>
            </w:r>
          </w:p>
        </w:tc>
      </w:tr>
      <w:tr>
        <w:tc>
          <w:tcPr>
            <w:tcW w:type="dxa" w:w="4513"/>
          </w:tcPr>
          <w:p>
            <w:r>
              <w:rPr>
                <w:b w:val="0"/>
                <w:sz w:val="19"/>
              </w:rPr>
              <w:t>Book-3 CC Issue</w:t>
            </w:r>
          </w:p>
        </w:tc>
        <w:tc>
          <w:tcPr>
            <w:tcW w:type="dxa" w:w="4513"/>
          </w:tcPr>
          <w:p>
            <w:r>
              <w:rPr>
                <w:b w:val="0"/>
                <w:sz w:val="19"/>
              </w:rPr>
              <w:t>26371</w:t>
            </w:r>
          </w:p>
        </w:tc>
      </w:tr>
    </w:tbl>
    <w:p/>
    <w:p>
      <w:r>
        <w:rPr>
          <w:b/>
        </w:rPr>
        <w:t>Note:</w:t>
      </w:r>
      <w:r>
        <w:t xml:space="preserve"> Discussion focus: map Kaveri 3.0 workflows for (1) Sub-Registrar refusal → Book 2 → Sec. 72 appeal / Sec. 73 application → Registrar enquiry → order to register or refuse → optional Sec. 77 suit; (2) Sec. 22-C cancellation → Sec. 22-D IGR appeal; and (3) will presentation after death under Sec. 40 / 41(2) (and sealed-cover opening under Sec. 45), including Rule 83 enquiry and Rule 181 appeal by executor.</w:t>
      </w:r>
    </w:p>
    <w:sectPr w:rsidR="00BA4535" w:rsidRPr="00667AC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980E5C"/>
    <w:multiLevelType w:val="hybridMultilevel"/>
    <w:tmpl w:val="2C94702E"/>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15:restartNumberingAfterBreak="0">
    <w:nsid w:val="07F85FD5"/>
    <w:multiLevelType w:val="multilevel"/>
    <w:tmpl w:val="82E86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A433B4"/>
    <w:multiLevelType w:val="hybridMultilevel"/>
    <w:tmpl w:val="5B64A0D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8970687"/>
    <w:multiLevelType w:val="multilevel"/>
    <w:tmpl w:val="15ACE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A72738"/>
    <w:multiLevelType w:val="multilevel"/>
    <w:tmpl w:val="71A2D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405C2D"/>
    <w:multiLevelType w:val="multilevel"/>
    <w:tmpl w:val="DBDAF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5C743F"/>
    <w:multiLevelType w:val="multilevel"/>
    <w:tmpl w:val="E97A9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4251D6"/>
    <w:multiLevelType w:val="hybridMultilevel"/>
    <w:tmpl w:val="75640F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64196962"/>
    <w:multiLevelType w:val="multilevel"/>
    <w:tmpl w:val="5DA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FBB79D5"/>
    <w:multiLevelType w:val="multilevel"/>
    <w:tmpl w:val="484E2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0"/>
  </w:num>
  <w:num w:numId="3">
    <w:abstractNumId w:val="7"/>
  </w:num>
  <w:num w:numId="4">
    <w:abstractNumId w:val="4"/>
  </w:num>
  <w:num w:numId="5">
    <w:abstractNumId w:val="6"/>
  </w:num>
  <w:num w:numId="6">
    <w:abstractNumId w:val="5"/>
  </w:num>
  <w:num w:numId="7">
    <w:abstractNumId w:val="9"/>
  </w:num>
  <w:num w:numId="8">
    <w:abstractNumId w:val="1"/>
  </w:num>
  <w:num w:numId="9">
    <w:abstractNumId w:val="8"/>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7685"/>
    <w:rsid w:val="00094F72"/>
    <w:rsid w:val="000B7685"/>
    <w:rsid w:val="00145E27"/>
    <w:rsid w:val="0020054B"/>
    <w:rsid w:val="004A71D2"/>
    <w:rsid w:val="004F0559"/>
    <w:rsid w:val="00505602"/>
    <w:rsid w:val="00595D6B"/>
    <w:rsid w:val="00596B44"/>
    <w:rsid w:val="00622A76"/>
    <w:rsid w:val="0062729F"/>
    <w:rsid w:val="00667ACF"/>
    <w:rsid w:val="006D0228"/>
    <w:rsid w:val="00847998"/>
    <w:rsid w:val="00A27B1C"/>
    <w:rsid w:val="00A8732F"/>
    <w:rsid w:val="00AE1736"/>
    <w:rsid w:val="00BA4535"/>
    <w:rsid w:val="00BF4A42"/>
    <w:rsid w:val="00C62847"/>
    <w:rsid w:val="00D11C02"/>
    <w:rsid w:val="00D91D56"/>
    <w:rsid w:val="00D951F4"/>
    <w:rsid w:val="00EA6043"/>
    <w:rsid w:val="00EE1B16"/>
    <w:rsid w:val="00FA46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7F49A1"/>
  <w15:chartTrackingRefBased/>
  <w15:docId w15:val="{63DB548C-105C-41B7-8DA9-F85EDC9D0F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BA453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3">
    <w:name w:val="heading 3"/>
    <w:basedOn w:val="Normal"/>
    <w:link w:val="Heading3Char"/>
    <w:uiPriority w:val="9"/>
    <w:qFormat/>
    <w:rsid w:val="006D0228"/>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596B44"/>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0B7685"/>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ListParagraph">
    <w:name w:val="List Paragraph"/>
    <w:basedOn w:val="Normal"/>
    <w:uiPriority w:val="34"/>
    <w:qFormat/>
    <w:rsid w:val="000B7685"/>
    <w:pPr>
      <w:ind w:left="720"/>
      <w:contextualSpacing/>
    </w:pPr>
  </w:style>
  <w:style w:type="table" w:styleId="TableGrid">
    <w:name w:val="Table Grid"/>
    <w:basedOn w:val="TableNormal"/>
    <w:uiPriority w:val="39"/>
    <w:rsid w:val="00D951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D0228"/>
    <w:rPr>
      <w:rFonts w:ascii="Times New Roman" w:eastAsia="Times New Roman" w:hAnsi="Times New Roman" w:cs="Times New Roman"/>
      <w:b/>
      <w:bCs/>
      <w:sz w:val="27"/>
      <w:szCs w:val="27"/>
      <w:lang w:eastAsia="en-IN"/>
    </w:rPr>
  </w:style>
  <w:style w:type="paragraph" w:customStyle="1" w:styleId="ui-markdownparagraph">
    <w:name w:val="ui-markdown__paragraph"/>
    <w:basedOn w:val="Normal"/>
    <w:rsid w:val="006D0228"/>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font-semibold">
    <w:name w:val="font-semibold"/>
    <w:basedOn w:val="DefaultParagraphFont"/>
    <w:rsid w:val="006D0228"/>
  </w:style>
  <w:style w:type="character" w:customStyle="1" w:styleId="ui-markdowninline-path-prefix">
    <w:name w:val="ui-markdown__inline-path-prefix"/>
    <w:basedOn w:val="DefaultParagraphFont"/>
    <w:rsid w:val="006D0228"/>
  </w:style>
  <w:style w:type="character" w:styleId="Emphasis">
    <w:name w:val="Emphasis"/>
    <w:basedOn w:val="DefaultParagraphFont"/>
    <w:uiPriority w:val="20"/>
    <w:qFormat/>
    <w:rsid w:val="006D0228"/>
    <w:rPr>
      <w:i/>
      <w:iCs/>
    </w:rPr>
  </w:style>
  <w:style w:type="character" w:styleId="HTMLCode">
    <w:name w:val="HTML Code"/>
    <w:basedOn w:val="DefaultParagraphFont"/>
    <w:uiPriority w:val="99"/>
    <w:semiHidden/>
    <w:unhideWhenUsed/>
    <w:rsid w:val="00595D6B"/>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semiHidden/>
    <w:rsid w:val="00596B44"/>
    <w:rPr>
      <w:rFonts w:asciiTheme="majorHAnsi" w:eastAsiaTheme="majorEastAsia" w:hAnsiTheme="majorHAnsi" w:cstheme="majorBidi"/>
      <w:i/>
      <w:iCs/>
      <w:color w:val="2E74B5" w:themeColor="accent1" w:themeShade="BF"/>
    </w:rPr>
  </w:style>
  <w:style w:type="character" w:customStyle="1" w:styleId="Heading1Char">
    <w:name w:val="Heading 1 Char"/>
    <w:basedOn w:val="DefaultParagraphFont"/>
    <w:link w:val="Heading1"/>
    <w:uiPriority w:val="9"/>
    <w:rsid w:val="00BA4535"/>
    <w:rPr>
      <w:rFonts w:asciiTheme="majorHAnsi" w:eastAsiaTheme="majorEastAsia" w:hAnsiTheme="majorHAnsi" w:cstheme="majorBidi"/>
      <w:color w:val="2E74B5" w:themeColor="accent1" w:themeShade="BF"/>
      <w:sz w:val="32"/>
      <w:szCs w:val="32"/>
    </w:rPr>
  </w:style>
  <w:style w:type="paragraph" w:styleId="BalloonText">
    <w:name w:val="Balloon Text"/>
    <w:basedOn w:val="Normal"/>
    <w:link w:val="BalloonTextChar"/>
    <w:uiPriority w:val="99"/>
    <w:semiHidden/>
    <w:unhideWhenUsed/>
    <w:rsid w:val="00EA604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604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3199516">
      <w:bodyDiv w:val="1"/>
      <w:marLeft w:val="0"/>
      <w:marRight w:val="0"/>
      <w:marTop w:val="0"/>
      <w:marBottom w:val="0"/>
      <w:divBdr>
        <w:top w:val="none" w:sz="0" w:space="0" w:color="auto"/>
        <w:left w:val="none" w:sz="0" w:space="0" w:color="auto"/>
        <w:bottom w:val="none" w:sz="0" w:space="0" w:color="auto"/>
        <w:right w:val="none" w:sz="0" w:space="0" w:color="auto"/>
      </w:divBdr>
    </w:div>
    <w:div w:id="728962815">
      <w:bodyDiv w:val="1"/>
      <w:marLeft w:val="0"/>
      <w:marRight w:val="0"/>
      <w:marTop w:val="0"/>
      <w:marBottom w:val="0"/>
      <w:divBdr>
        <w:top w:val="none" w:sz="0" w:space="0" w:color="auto"/>
        <w:left w:val="none" w:sz="0" w:space="0" w:color="auto"/>
        <w:bottom w:val="none" w:sz="0" w:space="0" w:color="auto"/>
        <w:right w:val="none" w:sz="0" w:space="0" w:color="auto"/>
      </w:divBdr>
    </w:div>
    <w:div w:id="886724295">
      <w:bodyDiv w:val="1"/>
      <w:marLeft w:val="0"/>
      <w:marRight w:val="0"/>
      <w:marTop w:val="0"/>
      <w:marBottom w:val="0"/>
      <w:divBdr>
        <w:top w:val="none" w:sz="0" w:space="0" w:color="auto"/>
        <w:left w:val="none" w:sz="0" w:space="0" w:color="auto"/>
        <w:bottom w:val="none" w:sz="0" w:space="0" w:color="auto"/>
        <w:right w:val="none" w:sz="0" w:space="0" w:color="auto"/>
      </w:divBdr>
      <w:divsChild>
        <w:div w:id="258412090">
          <w:marLeft w:val="0"/>
          <w:marRight w:val="0"/>
          <w:marTop w:val="240"/>
          <w:marBottom w:val="240"/>
          <w:divBdr>
            <w:top w:val="single" w:sz="6" w:space="0" w:color="auto"/>
            <w:left w:val="single" w:sz="6" w:space="0" w:color="auto"/>
            <w:bottom w:val="single" w:sz="6" w:space="0" w:color="auto"/>
            <w:right w:val="single" w:sz="6" w:space="0" w:color="auto"/>
          </w:divBdr>
          <w:divsChild>
            <w:div w:id="1820224183">
              <w:marLeft w:val="0"/>
              <w:marRight w:val="0"/>
              <w:marTop w:val="0"/>
              <w:marBottom w:val="0"/>
              <w:divBdr>
                <w:top w:val="none" w:sz="0" w:space="0" w:color="auto"/>
                <w:left w:val="none" w:sz="0" w:space="0" w:color="auto"/>
                <w:bottom w:val="none" w:sz="0" w:space="0" w:color="auto"/>
                <w:right w:val="none" w:sz="0" w:space="0" w:color="auto"/>
              </w:divBdr>
              <w:divsChild>
                <w:div w:id="188446728">
                  <w:marLeft w:val="0"/>
                  <w:marRight w:val="0"/>
                  <w:marTop w:val="0"/>
                  <w:marBottom w:val="0"/>
                  <w:divBdr>
                    <w:top w:val="none" w:sz="0" w:space="0" w:color="auto"/>
                    <w:left w:val="none" w:sz="0" w:space="0" w:color="auto"/>
                    <w:bottom w:val="none" w:sz="0" w:space="0" w:color="auto"/>
                    <w:right w:val="none" w:sz="0" w:space="0" w:color="auto"/>
                  </w:divBdr>
                  <w:divsChild>
                    <w:div w:id="179703616">
                      <w:marLeft w:val="0"/>
                      <w:marRight w:val="0"/>
                      <w:marTop w:val="0"/>
                      <w:marBottom w:val="0"/>
                      <w:divBdr>
                        <w:top w:val="none" w:sz="0" w:space="0" w:color="auto"/>
                        <w:left w:val="none" w:sz="0" w:space="0" w:color="auto"/>
                        <w:bottom w:val="none" w:sz="0" w:space="0" w:color="auto"/>
                        <w:right w:val="none" w:sz="0" w:space="0" w:color="auto"/>
                      </w:divBdr>
                    </w:div>
                    <w:div w:id="267782874">
                      <w:marLeft w:val="0"/>
                      <w:marRight w:val="0"/>
                      <w:marTop w:val="0"/>
                      <w:marBottom w:val="0"/>
                      <w:divBdr>
                        <w:top w:val="none" w:sz="0" w:space="0" w:color="auto"/>
                        <w:left w:val="none" w:sz="0" w:space="0" w:color="auto"/>
                        <w:bottom w:val="none" w:sz="0" w:space="0" w:color="auto"/>
                        <w:right w:val="none" w:sz="0" w:space="0" w:color="auto"/>
                      </w:divBdr>
                    </w:div>
                    <w:div w:id="1546872786">
                      <w:marLeft w:val="0"/>
                      <w:marRight w:val="0"/>
                      <w:marTop w:val="0"/>
                      <w:marBottom w:val="0"/>
                      <w:divBdr>
                        <w:top w:val="none" w:sz="0" w:space="0" w:color="auto"/>
                        <w:left w:val="none" w:sz="0" w:space="0" w:color="auto"/>
                        <w:bottom w:val="none" w:sz="0" w:space="0" w:color="auto"/>
                        <w:right w:val="none" w:sz="0" w:space="0" w:color="auto"/>
                      </w:divBdr>
                    </w:div>
                    <w:div w:id="2117674987">
                      <w:marLeft w:val="0"/>
                      <w:marRight w:val="0"/>
                      <w:marTop w:val="0"/>
                      <w:marBottom w:val="0"/>
                      <w:divBdr>
                        <w:top w:val="none" w:sz="0" w:space="0" w:color="auto"/>
                        <w:left w:val="none" w:sz="0" w:space="0" w:color="auto"/>
                        <w:bottom w:val="none" w:sz="0" w:space="0" w:color="auto"/>
                        <w:right w:val="none" w:sz="0" w:space="0" w:color="auto"/>
                      </w:divBdr>
                    </w:div>
                    <w:div w:id="1821728177">
                      <w:marLeft w:val="0"/>
                      <w:marRight w:val="0"/>
                      <w:marTop w:val="0"/>
                      <w:marBottom w:val="0"/>
                      <w:divBdr>
                        <w:top w:val="none" w:sz="0" w:space="0" w:color="auto"/>
                        <w:left w:val="none" w:sz="0" w:space="0" w:color="auto"/>
                        <w:bottom w:val="none" w:sz="0" w:space="0" w:color="auto"/>
                        <w:right w:val="none" w:sz="0" w:space="0" w:color="auto"/>
                      </w:divBdr>
                    </w:div>
                    <w:div w:id="26805793">
                      <w:marLeft w:val="0"/>
                      <w:marRight w:val="0"/>
                      <w:marTop w:val="0"/>
                      <w:marBottom w:val="0"/>
                      <w:divBdr>
                        <w:top w:val="none" w:sz="0" w:space="0" w:color="auto"/>
                        <w:left w:val="none" w:sz="0" w:space="0" w:color="auto"/>
                        <w:bottom w:val="none" w:sz="0" w:space="0" w:color="auto"/>
                        <w:right w:val="none" w:sz="0" w:space="0" w:color="auto"/>
                      </w:divBdr>
                    </w:div>
                    <w:div w:id="831337431">
                      <w:marLeft w:val="0"/>
                      <w:marRight w:val="0"/>
                      <w:marTop w:val="0"/>
                      <w:marBottom w:val="0"/>
                      <w:divBdr>
                        <w:top w:val="none" w:sz="0" w:space="0" w:color="auto"/>
                        <w:left w:val="none" w:sz="0" w:space="0" w:color="auto"/>
                        <w:bottom w:val="none" w:sz="0" w:space="0" w:color="auto"/>
                        <w:right w:val="none" w:sz="0" w:space="0" w:color="auto"/>
                      </w:divBdr>
                    </w:div>
                    <w:div w:id="1470899520">
                      <w:marLeft w:val="0"/>
                      <w:marRight w:val="0"/>
                      <w:marTop w:val="0"/>
                      <w:marBottom w:val="0"/>
                      <w:divBdr>
                        <w:top w:val="none" w:sz="0" w:space="0" w:color="auto"/>
                        <w:left w:val="none" w:sz="0" w:space="0" w:color="auto"/>
                        <w:bottom w:val="none" w:sz="0" w:space="0" w:color="auto"/>
                        <w:right w:val="none" w:sz="0" w:space="0" w:color="auto"/>
                      </w:divBdr>
                    </w:div>
                    <w:div w:id="480656503">
                      <w:marLeft w:val="0"/>
                      <w:marRight w:val="0"/>
                      <w:marTop w:val="0"/>
                      <w:marBottom w:val="0"/>
                      <w:divBdr>
                        <w:top w:val="none" w:sz="0" w:space="0" w:color="auto"/>
                        <w:left w:val="none" w:sz="0" w:space="0" w:color="auto"/>
                        <w:bottom w:val="none" w:sz="0" w:space="0" w:color="auto"/>
                        <w:right w:val="none" w:sz="0" w:space="0" w:color="auto"/>
                      </w:divBdr>
                    </w:div>
                    <w:div w:id="1113093970">
                      <w:marLeft w:val="0"/>
                      <w:marRight w:val="0"/>
                      <w:marTop w:val="0"/>
                      <w:marBottom w:val="0"/>
                      <w:divBdr>
                        <w:top w:val="none" w:sz="0" w:space="0" w:color="auto"/>
                        <w:left w:val="none" w:sz="0" w:space="0" w:color="auto"/>
                        <w:bottom w:val="none" w:sz="0" w:space="0" w:color="auto"/>
                        <w:right w:val="none" w:sz="0" w:space="0" w:color="auto"/>
                      </w:divBdr>
                    </w:div>
                    <w:div w:id="843057188">
                      <w:marLeft w:val="0"/>
                      <w:marRight w:val="0"/>
                      <w:marTop w:val="0"/>
                      <w:marBottom w:val="0"/>
                      <w:divBdr>
                        <w:top w:val="none" w:sz="0" w:space="0" w:color="auto"/>
                        <w:left w:val="none" w:sz="0" w:space="0" w:color="auto"/>
                        <w:bottom w:val="none" w:sz="0" w:space="0" w:color="auto"/>
                        <w:right w:val="none" w:sz="0" w:space="0" w:color="auto"/>
                      </w:divBdr>
                    </w:div>
                    <w:div w:id="152181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6875518">
          <w:marLeft w:val="0"/>
          <w:marRight w:val="0"/>
          <w:marTop w:val="240"/>
          <w:marBottom w:val="240"/>
          <w:divBdr>
            <w:top w:val="single" w:sz="6" w:space="0" w:color="auto"/>
            <w:left w:val="single" w:sz="6" w:space="0" w:color="auto"/>
            <w:bottom w:val="single" w:sz="6" w:space="0" w:color="auto"/>
            <w:right w:val="single" w:sz="6" w:space="0" w:color="auto"/>
          </w:divBdr>
          <w:divsChild>
            <w:div w:id="2003502954">
              <w:marLeft w:val="0"/>
              <w:marRight w:val="0"/>
              <w:marTop w:val="0"/>
              <w:marBottom w:val="0"/>
              <w:divBdr>
                <w:top w:val="none" w:sz="0" w:space="0" w:color="auto"/>
                <w:left w:val="none" w:sz="0" w:space="0" w:color="auto"/>
                <w:bottom w:val="none" w:sz="0" w:space="0" w:color="auto"/>
                <w:right w:val="none" w:sz="0" w:space="0" w:color="auto"/>
              </w:divBdr>
              <w:divsChild>
                <w:div w:id="416245213">
                  <w:marLeft w:val="0"/>
                  <w:marRight w:val="0"/>
                  <w:marTop w:val="0"/>
                  <w:marBottom w:val="0"/>
                  <w:divBdr>
                    <w:top w:val="none" w:sz="0" w:space="0" w:color="auto"/>
                    <w:left w:val="none" w:sz="0" w:space="0" w:color="auto"/>
                    <w:bottom w:val="none" w:sz="0" w:space="0" w:color="auto"/>
                    <w:right w:val="none" w:sz="0" w:space="0" w:color="auto"/>
                  </w:divBdr>
                  <w:divsChild>
                    <w:div w:id="1445346062">
                      <w:marLeft w:val="0"/>
                      <w:marRight w:val="0"/>
                      <w:marTop w:val="0"/>
                      <w:marBottom w:val="0"/>
                      <w:divBdr>
                        <w:top w:val="none" w:sz="0" w:space="0" w:color="auto"/>
                        <w:left w:val="none" w:sz="0" w:space="0" w:color="auto"/>
                        <w:bottom w:val="none" w:sz="0" w:space="0" w:color="auto"/>
                        <w:right w:val="none" w:sz="0" w:space="0" w:color="auto"/>
                      </w:divBdr>
                    </w:div>
                    <w:div w:id="827525584">
                      <w:marLeft w:val="0"/>
                      <w:marRight w:val="0"/>
                      <w:marTop w:val="0"/>
                      <w:marBottom w:val="0"/>
                      <w:divBdr>
                        <w:top w:val="none" w:sz="0" w:space="0" w:color="auto"/>
                        <w:left w:val="none" w:sz="0" w:space="0" w:color="auto"/>
                        <w:bottom w:val="none" w:sz="0" w:space="0" w:color="auto"/>
                        <w:right w:val="none" w:sz="0" w:space="0" w:color="auto"/>
                      </w:divBdr>
                    </w:div>
                    <w:div w:id="237250734">
                      <w:marLeft w:val="0"/>
                      <w:marRight w:val="0"/>
                      <w:marTop w:val="0"/>
                      <w:marBottom w:val="0"/>
                      <w:divBdr>
                        <w:top w:val="none" w:sz="0" w:space="0" w:color="auto"/>
                        <w:left w:val="none" w:sz="0" w:space="0" w:color="auto"/>
                        <w:bottom w:val="none" w:sz="0" w:space="0" w:color="auto"/>
                        <w:right w:val="none" w:sz="0" w:space="0" w:color="auto"/>
                      </w:divBdr>
                    </w:div>
                    <w:div w:id="1109354608">
                      <w:marLeft w:val="0"/>
                      <w:marRight w:val="0"/>
                      <w:marTop w:val="0"/>
                      <w:marBottom w:val="0"/>
                      <w:divBdr>
                        <w:top w:val="none" w:sz="0" w:space="0" w:color="auto"/>
                        <w:left w:val="none" w:sz="0" w:space="0" w:color="auto"/>
                        <w:bottom w:val="none" w:sz="0" w:space="0" w:color="auto"/>
                        <w:right w:val="none" w:sz="0" w:space="0" w:color="auto"/>
                      </w:divBdr>
                    </w:div>
                    <w:div w:id="1001393947">
                      <w:marLeft w:val="0"/>
                      <w:marRight w:val="0"/>
                      <w:marTop w:val="0"/>
                      <w:marBottom w:val="0"/>
                      <w:divBdr>
                        <w:top w:val="none" w:sz="0" w:space="0" w:color="auto"/>
                        <w:left w:val="none" w:sz="0" w:space="0" w:color="auto"/>
                        <w:bottom w:val="none" w:sz="0" w:space="0" w:color="auto"/>
                        <w:right w:val="none" w:sz="0" w:space="0" w:color="auto"/>
                      </w:divBdr>
                    </w:div>
                    <w:div w:id="82532983">
                      <w:marLeft w:val="0"/>
                      <w:marRight w:val="0"/>
                      <w:marTop w:val="0"/>
                      <w:marBottom w:val="0"/>
                      <w:divBdr>
                        <w:top w:val="none" w:sz="0" w:space="0" w:color="auto"/>
                        <w:left w:val="none" w:sz="0" w:space="0" w:color="auto"/>
                        <w:bottom w:val="none" w:sz="0" w:space="0" w:color="auto"/>
                        <w:right w:val="none" w:sz="0" w:space="0" w:color="auto"/>
                      </w:divBdr>
                    </w:div>
                    <w:div w:id="750127792">
                      <w:marLeft w:val="0"/>
                      <w:marRight w:val="0"/>
                      <w:marTop w:val="0"/>
                      <w:marBottom w:val="0"/>
                      <w:divBdr>
                        <w:top w:val="none" w:sz="0" w:space="0" w:color="auto"/>
                        <w:left w:val="none" w:sz="0" w:space="0" w:color="auto"/>
                        <w:bottom w:val="none" w:sz="0" w:space="0" w:color="auto"/>
                        <w:right w:val="none" w:sz="0" w:space="0" w:color="auto"/>
                      </w:divBdr>
                    </w:div>
                    <w:div w:id="105004982">
                      <w:marLeft w:val="0"/>
                      <w:marRight w:val="0"/>
                      <w:marTop w:val="0"/>
                      <w:marBottom w:val="0"/>
                      <w:divBdr>
                        <w:top w:val="none" w:sz="0" w:space="0" w:color="auto"/>
                        <w:left w:val="none" w:sz="0" w:space="0" w:color="auto"/>
                        <w:bottom w:val="none" w:sz="0" w:space="0" w:color="auto"/>
                        <w:right w:val="none" w:sz="0" w:space="0" w:color="auto"/>
                      </w:divBdr>
                    </w:div>
                    <w:div w:id="1361782878">
                      <w:marLeft w:val="0"/>
                      <w:marRight w:val="0"/>
                      <w:marTop w:val="0"/>
                      <w:marBottom w:val="0"/>
                      <w:divBdr>
                        <w:top w:val="none" w:sz="0" w:space="0" w:color="auto"/>
                        <w:left w:val="none" w:sz="0" w:space="0" w:color="auto"/>
                        <w:bottom w:val="none" w:sz="0" w:space="0" w:color="auto"/>
                        <w:right w:val="none" w:sz="0" w:space="0" w:color="auto"/>
                      </w:divBdr>
                    </w:div>
                    <w:div w:id="1055858486">
                      <w:marLeft w:val="0"/>
                      <w:marRight w:val="0"/>
                      <w:marTop w:val="0"/>
                      <w:marBottom w:val="0"/>
                      <w:divBdr>
                        <w:top w:val="none" w:sz="0" w:space="0" w:color="auto"/>
                        <w:left w:val="none" w:sz="0" w:space="0" w:color="auto"/>
                        <w:bottom w:val="none" w:sz="0" w:space="0" w:color="auto"/>
                        <w:right w:val="none" w:sz="0" w:space="0" w:color="auto"/>
                      </w:divBdr>
                    </w:div>
                    <w:div w:id="1531409691">
                      <w:marLeft w:val="0"/>
                      <w:marRight w:val="0"/>
                      <w:marTop w:val="0"/>
                      <w:marBottom w:val="0"/>
                      <w:divBdr>
                        <w:top w:val="none" w:sz="0" w:space="0" w:color="auto"/>
                        <w:left w:val="none" w:sz="0" w:space="0" w:color="auto"/>
                        <w:bottom w:val="none" w:sz="0" w:space="0" w:color="auto"/>
                        <w:right w:val="none" w:sz="0" w:space="0" w:color="auto"/>
                      </w:divBdr>
                    </w:div>
                    <w:div w:id="617758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399362">
      <w:bodyDiv w:val="1"/>
      <w:marLeft w:val="0"/>
      <w:marRight w:val="0"/>
      <w:marTop w:val="0"/>
      <w:marBottom w:val="0"/>
      <w:divBdr>
        <w:top w:val="none" w:sz="0" w:space="0" w:color="auto"/>
        <w:left w:val="none" w:sz="0" w:space="0" w:color="auto"/>
        <w:bottom w:val="none" w:sz="0" w:space="0" w:color="auto"/>
        <w:right w:val="none" w:sz="0" w:space="0" w:color="auto"/>
      </w:divBdr>
    </w:div>
    <w:div w:id="1422070831">
      <w:bodyDiv w:val="1"/>
      <w:marLeft w:val="0"/>
      <w:marRight w:val="0"/>
      <w:marTop w:val="0"/>
      <w:marBottom w:val="0"/>
      <w:divBdr>
        <w:top w:val="none" w:sz="0" w:space="0" w:color="auto"/>
        <w:left w:val="none" w:sz="0" w:space="0" w:color="auto"/>
        <w:bottom w:val="none" w:sz="0" w:space="0" w:color="auto"/>
        <w:right w:val="none" w:sz="0" w:space="0" w:color="auto"/>
      </w:divBdr>
      <w:divsChild>
        <w:div w:id="1356538435">
          <w:marLeft w:val="0"/>
          <w:marRight w:val="0"/>
          <w:marTop w:val="240"/>
          <w:marBottom w:val="240"/>
          <w:divBdr>
            <w:top w:val="single" w:sz="6" w:space="0" w:color="auto"/>
            <w:left w:val="single" w:sz="6" w:space="0" w:color="auto"/>
            <w:bottom w:val="single" w:sz="6" w:space="0" w:color="auto"/>
            <w:right w:val="single" w:sz="6" w:space="0" w:color="auto"/>
          </w:divBdr>
          <w:divsChild>
            <w:div w:id="1225413306">
              <w:marLeft w:val="0"/>
              <w:marRight w:val="0"/>
              <w:marTop w:val="0"/>
              <w:marBottom w:val="0"/>
              <w:divBdr>
                <w:top w:val="none" w:sz="0" w:space="0" w:color="auto"/>
                <w:left w:val="none" w:sz="0" w:space="0" w:color="auto"/>
                <w:bottom w:val="none" w:sz="0" w:space="0" w:color="auto"/>
                <w:right w:val="none" w:sz="0" w:space="0" w:color="auto"/>
              </w:divBdr>
              <w:divsChild>
                <w:div w:id="291402488">
                  <w:marLeft w:val="0"/>
                  <w:marRight w:val="0"/>
                  <w:marTop w:val="0"/>
                  <w:marBottom w:val="0"/>
                  <w:divBdr>
                    <w:top w:val="none" w:sz="0" w:space="0" w:color="auto"/>
                    <w:left w:val="none" w:sz="0" w:space="0" w:color="auto"/>
                    <w:bottom w:val="none" w:sz="0" w:space="0" w:color="auto"/>
                    <w:right w:val="none" w:sz="0" w:space="0" w:color="auto"/>
                  </w:divBdr>
                  <w:divsChild>
                    <w:div w:id="904532081">
                      <w:marLeft w:val="0"/>
                      <w:marRight w:val="0"/>
                      <w:marTop w:val="0"/>
                      <w:marBottom w:val="0"/>
                      <w:divBdr>
                        <w:top w:val="none" w:sz="0" w:space="0" w:color="auto"/>
                        <w:left w:val="none" w:sz="0" w:space="0" w:color="auto"/>
                        <w:bottom w:val="none" w:sz="0" w:space="0" w:color="auto"/>
                        <w:right w:val="none" w:sz="0" w:space="0" w:color="auto"/>
                      </w:divBdr>
                    </w:div>
                    <w:div w:id="1073548608">
                      <w:marLeft w:val="0"/>
                      <w:marRight w:val="0"/>
                      <w:marTop w:val="0"/>
                      <w:marBottom w:val="0"/>
                      <w:divBdr>
                        <w:top w:val="none" w:sz="0" w:space="0" w:color="auto"/>
                        <w:left w:val="none" w:sz="0" w:space="0" w:color="auto"/>
                        <w:bottom w:val="none" w:sz="0" w:space="0" w:color="auto"/>
                        <w:right w:val="none" w:sz="0" w:space="0" w:color="auto"/>
                      </w:divBdr>
                    </w:div>
                    <w:div w:id="1857379153">
                      <w:marLeft w:val="0"/>
                      <w:marRight w:val="0"/>
                      <w:marTop w:val="0"/>
                      <w:marBottom w:val="0"/>
                      <w:divBdr>
                        <w:top w:val="none" w:sz="0" w:space="0" w:color="auto"/>
                        <w:left w:val="none" w:sz="0" w:space="0" w:color="auto"/>
                        <w:bottom w:val="none" w:sz="0" w:space="0" w:color="auto"/>
                        <w:right w:val="none" w:sz="0" w:space="0" w:color="auto"/>
                      </w:divBdr>
                    </w:div>
                    <w:div w:id="1465387267">
                      <w:marLeft w:val="0"/>
                      <w:marRight w:val="0"/>
                      <w:marTop w:val="0"/>
                      <w:marBottom w:val="0"/>
                      <w:divBdr>
                        <w:top w:val="none" w:sz="0" w:space="0" w:color="auto"/>
                        <w:left w:val="none" w:sz="0" w:space="0" w:color="auto"/>
                        <w:bottom w:val="none" w:sz="0" w:space="0" w:color="auto"/>
                        <w:right w:val="none" w:sz="0" w:space="0" w:color="auto"/>
                      </w:divBdr>
                    </w:div>
                    <w:div w:id="1024404082">
                      <w:marLeft w:val="0"/>
                      <w:marRight w:val="0"/>
                      <w:marTop w:val="0"/>
                      <w:marBottom w:val="0"/>
                      <w:divBdr>
                        <w:top w:val="none" w:sz="0" w:space="0" w:color="auto"/>
                        <w:left w:val="none" w:sz="0" w:space="0" w:color="auto"/>
                        <w:bottom w:val="none" w:sz="0" w:space="0" w:color="auto"/>
                        <w:right w:val="none" w:sz="0" w:space="0" w:color="auto"/>
                      </w:divBdr>
                    </w:div>
                    <w:div w:id="1863857516">
                      <w:marLeft w:val="0"/>
                      <w:marRight w:val="0"/>
                      <w:marTop w:val="0"/>
                      <w:marBottom w:val="0"/>
                      <w:divBdr>
                        <w:top w:val="none" w:sz="0" w:space="0" w:color="auto"/>
                        <w:left w:val="none" w:sz="0" w:space="0" w:color="auto"/>
                        <w:bottom w:val="none" w:sz="0" w:space="0" w:color="auto"/>
                        <w:right w:val="none" w:sz="0" w:space="0" w:color="auto"/>
                      </w:divBdr>
                    </w:div>
                    <w:div w:id="59257132">
                      <w:marLeft w:val="0"/>
                      <w:marRight w:val="0"/>
                      <w:marTop w:val="0"/>
                      <w:marBottom w:val="0"/>
                      <w:divBdr>
                        <w:top w:val="none" w:sz="0" w:space="0" w:color="auto"/>
                        <w:left w:val="none" w:sz="0" w:space="0" w:color="auto"/>
                        <w:bottom w:val="none" w:sz="0" w:space="0" w:color="auto"/>
                        <w:right w:val="none" w:sz="0" w:space="0" w:color="auto"/>
                      </w:divBdr>
                    </w:div>
                    <w:div w:id="2068645392">
                      <w:marLeft w:val="0"/>
                      <w:marRight w:val="0"/>
                      <w:marTop w:val="0"/>
                      <w:marBottom w:val="0"/>
                      <w:divBdr>
                        <w:top w:val="none" w:sz="0" w:space="0" w:color="auto"/>
                        <w:left w:val="none" w:sz="0" w:space="0" w:color="auto"/>
                        <w:bottom w:val="none" w:sz="0" w:space="0" w:color="auto"/>
                        <w:right w:val="none" w:sz="0" w:space="0" w:color="auto"/>
                      </w:divBdr>
                    </w:div>
                    <w:div w:id="475992021">
                      <w:marLeft w:val="0"/>
                      <w:marRight w:val="0"/>
                      <w:marTop w:val="0"/>
                      <w:marBottom w:val="0"/>
                      <w:divBdr>
                        <w:top w:val="none" w:sz="0" w:space="0" w:color="auto"/>
                        <w:left w:val="none" w:sz="0" w:space="0" w:color="auto"/>
                        <w:bottom w:val="none" w:sz="0" w:space="0" w:color="auto"/>
                        <w:right w:val="none" w:sz="0" w:space="0" w:color="auto"/>
                      </w:divBdr>
                    </w:div>
                    <w:div w:id="1987464972">
                      <w:marLeft w:val="0"/>
                      <w:marRight w:val="0"/>
                      <w:marTop w:val="0"/>
                      <w:marBottom w:val="0"/>
                      <w:divBdr>
                        <w:top w:val="none" w:sz="0" w:space="0" w:color="auto"/>
                        <w:left w:val="none" w:sz="0" w:space="0" w:color="auto"/>
                        <w:bottom w:val="none" w:sz="0" w:space="0" w:color="auto"/>
                        <w:right w:val="none" w:sz="0" w:space="0" w:color="auto"/>
                      </w:divBdr>
                    </w:div>
                    <w:div w:id="673997879">
                      <w:marLeft w:val="0"/>
                      <w:marRight w:val="0"/>
                      <w:marTop w:val="0"/>
                      <w:marBottom w:val="0"/>
                      <w:divBdr>
                        <w:top w:val="none" w:sz="0" w:space="0" w:color="auto"/>
                        <w:left w:val="none" w:sz="0" w:space="0" w:color="auto"/>
                        <w:bottom w:val="none" w:sz="0" w:space="0" w:color="auto"/>
                        <w:right w:val="none" w:sz="0" w:space="0" w:color="auto"/>
                      </w:divBdr>
                    </w:div>
                    <w:div w:id="1127820928">
                      <w:marLeft w:val="0"/>
                      <w:marRight w:val="0"/>
                      <w:marTop w:val="0"/>
                      <w:marBottom w:val="0"/>
                      <w:divBdr>
                        <w:top w:val="none" w:sz="0" w:space="0" w:color="auto"/>
                        <w:left w:val="none" w:sz="0" w:space="0" w:color="auto"/>
                        <w:bottom w:val="none" w:sz="0" w:space="0" w:color="auto"/>
                        <w:right w:val="none" w:sz="0" w:space="0" w:color="auto"/>
                      </w:divBdr>
                    </w:div>
                    <w:div w:id="150484568">
                      <w:marLeft w:val="0"/>
                      <w:marRight w:val="0"/>
                      <w:marTop w:val="0"/>
                      <w:marBottom w:val="0"/>
                      <w:divBdr>
                        <w:top w:val="none" w:sz="0" w:space="0" w:color="auto"/>
                        <w:left w:val="none" w:sz="0" w:space="0" w:color="auto"/>
                        <w:bottom w:val="none" w:sz="0" w:space="0" w:color="auto"/>
                        <w:right w:val="none" w:sz="0" w:space="0" w:color="auto"/>
                      </w:divBdr>
                    </w:div>
                    <w:div w:id="1648851042">
                      <w:marLeft w:val="0"/>
                      <w:marRight w:val="0"/>
                      <w:marTop w:val="0"/>
                      <w:marBottom w:val="0"/>
                      <w:divBdr>
                        <w:top w:val="none" w:sz="0" w:space="0" w:color="auto"/>
                        <w:left w:val="none" w:sz="0" w:space="0" w:color="auto"/>
                        <w:bottom w:val="none" w:sz="0" w:space="0" w:color="auto"/>
                        <w:right w:val="none" w:sz="0" w:space="0" w:color="auto"/>
                      </w:divBdr>
                    </w:div>
                    <w:div w:id="166265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487196">
          <w:marLeft w:val="0"/>
          <w:marRight w:val="0"/>
          <w:marTop w:val="240"/>
          <w:marBottom w:val="240"/>
          <w:divBdr>
            <w:top w:val="single" w:sz="6" w:space="0" w:color="auto"/>
            <w:left w:val="single" w:sz="6" w:space="0" w:color="auto"/>
            <w:bottom w:val="single" w:sz="6" w:space="0" w:color="auto"/>
            <w:right w:val="single" w:sz="6" w:space="0" w:color="auto"/>
          </w:divBdr>
          <w:divsChild>
            <w:div w:id="1925413944">
              <w:marLeft w:val="0"/>
              <w:marRight w:val="0"/>
              <w:marTop w:val="0"/>
              <w:marBottom w:val="0"/>
              <w:divBdr>
                <w:top w:val="none" w:sz="0" w:space="0" w:color="auto"/>
                <w:left w:val="none" w:sz="0" w:space="0" w:color="auto"/>
                <w:bottom w:val="none" w:sz="0" w:space="0" w:color="auto"/>
                <w:right w:val="none" w:sz="0" w:space="0" w:color="auto"/>
              </w:divBdr>
              <w:divsChild>
                <w:div w:id="1834564512">
                  <w:marLeft w:val="0"/>
                  <w:marRight w:val="0"/>
                  <w:marTop w:val="0"/>
                  <w:marBottom w:val="0"/>
                  <w:divBdr>
                    <w:top w:val="none" w:sz="0" w:space="0" w:color="auto"/>
                    <w:left w:val="none" w:sz="0" w:space="0" w:color="auto"/>
                    <w:bottom w:val="none" w:sz="0" w:space="0" w:color="auto"/>
                    <w:right w:val="none" w:sz="0" w:space="0" w:color="auto"/>
                  </w:divBdr>
                  <w:divsChild>
                    <w:div w:id="135534964">
                      <w:marLeft w:val="0"/>
                      <w:marRight w:val="0"/>
                      <w:marTop w:val="0"/>
                      <w:marBottom w:val="0"/>
                      <w:divBdr>
                        <w:top w:val="none" w:sz="0" w:space="0" w:color="auto"/>
                        <w:left w:val="none" w:sz="0" w:space="0" w:color="auto"/>
                        <w:bottom w:val="none" w:sz="0" w:space="0" w:color="auto"/>
                        <w:right w:val="none" w:sz="0" w:space="0" w:color="auto"/>
                      </w:divBdr>
                    </w:div>
                    <w:div w:id="197938178">
                      <w:marLeft w:val="0"/>
                      <w:marRight w:val="0"/>
                      <w:marTop w:val="0"/>
                      <w:marBottom w:val="0"/>
                      <w:divBdr>
                        <w:top w:val="none" w:sz="0" w:space="0" w:color="auto"/>
                        <w:left w:val="none" w:sz="0" w:space="0" w:color="auto"/>
                        <w:bottom w:val="none" w:sz="0" w:space="0" w:color="auto"/>
                        <w:right w:val="none" w:sz="0" w:space="0" w:color="auto"/>
                      </w:divBdr>
                    </w:div>
                    <w:div w:id="230239960">
                      <w:marLeft w:val="0"/>
                      <w:marRight w:val="0"/>
                      <w:marTop w:val="0"/>
                      <w:marBottom w:val="0"/>
                      <w:divBdr>
                        <w:top w:val="none" w:sz="0" w:space="0" w:color="auto"/>
                        <w:left w:val="none" w:sz="0" w:space="0" w:color="auto"/>
                        <w:bottom w:val="none" w:sz="0" w:space="0" w:color="auto"/>
                        <w:right w:val="none" w:sz="0" w:space="0" w:color="auto"/>
                      </w:divBdr>
                    </w:div>
                    <w:div w:id="856890208">
                      <w:marLeft w:val="0"/>
                      <w:marRight w:val="0"/>
                      <w:marTop w:val="0"/>
                      <w:marBottom w:val="0"/>
                      <w:divBdr>
                        <w:top w:val="none" w:sz="0" w:space="0" w:color="auto"/>
                        <w:left w:val="none" w:sz="0" w:space="0" w:color="auto"/>
                        <w:bottom w:val="none" w:sz="0" w:space="0" w:color="auto"/>
                        <w:right w:val="none" w:sz="0" w:space="0" w:color="auto"/>
                      </w:divBdr>
                    </w:div>
                    <w:div w:id="1048259729">
                      <w:marLeft w:val="0"/>
                      <w:marRight w:val="0"/>
                      <w:marTop w:val="0"/>
                      <w:marBottom w:val="0"/>
                      <w:divBdr>
                        <w:top w:val="none" w:sz="0" w:space="0" w:color="auto"/>
                        <w:left w:val="none" w:sz="0" w:space="0" w:color="auto"/>
                        <w:bottom w:val="none" w:sz="0" w:space="0" w:color="auto"/>
                        <w:right w:val="none" w:sz="0" w:space="0" w:color="auto"/>
                      </w:divBdr>
                    </w:div>
                    <w:div w:id="1320500726">
                      <w:marLeft w:val="0"/>
                      <w:marRight w:val="0"/>
                      <w:marTop w:val="0"/>
                      <w:marBottom w:val="0"/>
                      <w:divBdr>
                        <w:top w:val="none" w:sz="0" w:space="0" w:color="auto"/>
                        <w:left w:val="none" w:sz="0" w:space="0" w:color="auto"/>
                        <w:bottom w:val="none" w:sz="0" w:space="0" w:color="auto"/>
                        <w:right w:val="none" w:sz="0" w:space="0" w:color="auto"/>
                      </w:divBdr>
                    </w:div>
                    <w:div w:id="818425965">
                      <w:marLeft w:val="0"/>
                      <w:marRight w:val="0"/>
                      <w:marTop w:val="0"/>
                      <w:marBottom w:val="0"/>
                      <w:divBdr>
                        <w:top w:val="none" w:sz="0" w:space="0" w:color="auto"/>
                        <w:left w:val="none" w:sz="0" w:space="0" w:color="auto"/>
                        <w:bottom w:val="none" w:sz="0" w:space="0" w:color="auto"/>
                        <w:right w:val="none" w:sz="0" w:space="0" w:color="auto"/>
                      </w:divBdr>
                    </w:div>
                    <w:div w:id="1387416838">
                      <w:marLeft w:val="0"/>
                      <w:marRight w:val="0"/>
                      <w:marTop w:val="0"/>
                      <w:marBottom w:val="0"/>
                      <w:divBdr>
                        <w:top w:val="none" w:sz="0" w:space="0" w:color="auto"/>
                        <w:left w:val="none" w:sz="0" w:space="0" w:color="auto"/>
                        <w:bottom w:val="none" w:sz="0" w:space="0" w:color="auto"/>
                        <w:right w:val="none" w:sz="0" w:space="0" w:color="auto"/>
                      </w:divBdr>
                    </w:div>
                    <w:div w:id="112213187">
                      <w:marLeft w:val="0"/>
                      <w:marRight w:val="0"/>
                      <w:marTop w:val="0"/>
                      <w:marBottom w:val="0"/>
                      <w:divBdr>
                        <w:top w:val="none" w:sz="0" w:space="0" w:color="auto"/>
                        <w:left w:val="none" w:sz="0" w:space="0" w:color="auto"/>
                        <w:bottom w:val="none" w:sz="0" w:space="0" w:color="auto"/>
                        <w:right w:val="none" w:sz="0" w:space="0" w:color="auto"/>
                      </w:divBdr>
                    </w:div>
                    <w:div w:id="791901817">
                      <w:marLeft w:val="0"/>
                      <w:marRight w:val="0"/>
                      <w:marTop w:val="0"/>
                      <w:marBottom w:val="0"/>
                      <w:divBdr>
                        <w:top w:val="none" w:sz="0" w:space="0" w:color="auto"/>
                        <w:left w:val="none" w:sz="0" w:space="0" w:color="auto"/>
                        <w:bottom w:val="none" w:sz="0" w:space="0" w:color="auto"/>
                        <w:right w:val="none" w:sz="0" w:space="0" w:color="auto"/>
                      </w:divBdr>
                    </w:div>
                    <w:div w:id="740979307">
                      <w:marLeft w:val="0"/>
                      <w:marRight w:val="0"/>
                      <w:marTop w:val="0"/>
                      <w:marBottom w:val="0"/>
                      <w:divBdr>
                        <w:top w:val="none" w:sz="0" w:space="0" w:color="auto"/>
                        <w:left w:val="none" w:sz="0" w:space="0" w:color="auto"/>
                        <w:bottom w:val="none" w:sz="0" w:space="0" w:color="auto"/>
                        <w:right w:val="none" w:sz="0" w:space="0" w:color="auto"/>
                      </w:divBdr>
                    </w:div>
                    <w:div w:id="678625770">
                      <w:marLeft w:val="0"/>
                      <w:marRight w:val="0"/>
                      <w:marTop w:val="0"/>
                      <w:marBottom w:val="0"/>
                      <w:divBdr>
                        <w:top w:val="none" w:sz="0" w:space="0" w:color="auto"/>
                        <w:left w:val="none" w:sz="0" w:space="0" w:color="auto"/>
                        <w:bottom w:val="none" w:sz="0" w:space="0" w:color="auto"/>
                        <w:right w:val="none" w:sz="0" w:space="0" w:color="auto"/>
                      </w:divBdr>
                    </w:div>
                    <w:div w:id="104159989">
                      <w:marLeft w:val="0"/>
                      <w:marRight w:val="0"/>
                      <w:marTop w:val="0"/>
                      <w:marBottom w:val="0"/>
                      <w:divBdr>
                        <w:top w:val="none" w:sz="0" w:space="0" w:color="auto"/>
                        <w:left w:val="none" w:sz="0" w:space="0" w:color="auto"/>
                        <w:bottom w:val="none" w:sz="0" w:space="0" w:color="auto"/>
                        <w:right w:val="none" w:sz="0" w:space="0" w:color="auto"/>
                      </w:divBdr>
                    </w:div>
                    <w:div w:id="2051608406">
                      <w:marLeft w:val="0"/>
                      <w:marRight w:val="0"/>
                      <w:marTop w:val="0"/>
                      <w:marBottom w:val="0"/>
                      <w:divBdr>
                        <w:top w:val="none" w:sz="0" w:space="0" w:color="auto"/>
                        <w:left w:val="none" w:sz="0" w:space="0" w:color="auto"/>
                        <w:bottom w:val="none" w:sz="0" w:space="0" w:color="auto"/>
                        <w:right w:val="none" w:sz="0" w:space="0" w:color="auto"/>
                      </w:divBdr>
                    </w:div>
                    <w:div w:id="1726099079">
                      <w:marLeft w:val="0"/>
                      <w:marRight w:val="0"/>
                      <w:marTop w:val="0"/>
                      <w:marBottom w:val="0"/>
                      <w:divBdr>
                        <w:top w:val="none" w:sz="0" w:space="0" w:color="auto"/>
                        <w:left w:val="none" w:sz="0" w:space="0" w:color="auto"/>
                        <w:bottom w:val="none" w:sz="0" w:space="0" w:color="auto"/>
                        <w:right w:val="none" w:sz="0" w:space="0" w:color="auto"/>
                      </w:divBdr>
                    </w:div>
                    <w:div w:id="2105034523">
                      <w:marLeft w:val="0"/>
                      <w:marRight w:val="0"/>
                      <w:marTop w:val="0"/>
                      <w:marBottom w:val="0"/>
                      <w:divBdr>
                        <w:top w:val="none" w:sz="0" w:space="0" w:color="auto"/>
                        <w:left w:val="none" w:sz="0" w:space="0" w:color="auto"/>
                        <w:bottom w:val="none" w:sz="0" w:space="0" w:color="auto"/>
                        <w:right w:val="none" w:sz="0" w:space="0" w:color="auto"/>
                      </w:divBdr>
                    </w:div>
                    <w:div w:id="2086680137">
                      <w:marLeft w:val="0"/>
                      <w:marRight w:val="0"/>
                      <w:marTop w:val="0"/>
                      <w:marBottom w:val="0"/>
                      <w:divBdr>
                        <w:top w:val="none" w:sz="0" w:space="0" w:color="auto"/>
                        <w:left w:val="none" w:sz="0" w:space="0" w:color="auto"/>
                        <w:bottom w:val="none" w:sz="0" w:space="0" w:color="auto"/>
                        <w:right w:val="none" w:sz="0" w:space="0" w:color="auto"/>
                      </w:divBdr>
                    </w:div>
                    <w:div w:id="5286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7580032">
          <w:marLeft w:val="0"/>
          <w:marRight w:val="0"/>
          <w:marTop w:val="240"/>
          <w:marBottom w:val="240"/>
          <w:divBdr>
            <w:top w:val="single" w:sz="6" w:space="0" w:color="auto"/>
            <w:left w:val="single" w:sz="6" w:space="0" w:color="auto"/>
            <w:bottom w:val="single" w:sz="6" w:space="0" w:color="auto"/>
            <w:right w:val="single" w:sz="6" w:space="0" w:color="auto"/>
          </w:divBdr>
          <w:divsChild>
            <w:div w:id="592012065">
              <w:marLeft w:val="0"/>
              <w:marRight w:val="0"/>
              <w:marTop w:val="0"/>
              <w:marBottom w:val="0"/>
              <w:divBdr>
                <w:top w:val="none" w:sz="0" w:space="0" w:color="auto"/>
                <w:left w:val="none" w:sz="0" w:space="0" w:color="auto"/>
                <w:bottom w:val="none" w:sz="0" w:space="0" w:color="auto"/>
                <w:right w:val="none" w:sz="0" w:space="0" w:color="auto"/>
              </w:divBdr>
              <w:divsChild>
                <w:div w:id="1823815675">
                  <w:marLeft w:val="0"/>
                  <w:marRight w:val="0"/>
                  <w:marTop w:val="0"/>
                  <w:marBottom w:val="0"/>
                  <w:divBdr>
                    <w:top w:val="none" w:sz="0" w:space="0" w:color="auto"/>
                    <w:left w:val="none" w:sz="0" w:space="0" w:color="auto"/>
                    <w:bottom w:val="none" w:sz="0" w:space="0" w:color="auto"/>
                    <w:right w:val="none" w:sz="0" w:space="0" w:color="auto"/>
                  </w:divBdr>
                  <w:divsChild>
                    <w:div w:id="983003911">
                      <w:marLeft w:val="0"/>
                      <w:marRight w:val="0"/>
                      <w:marTop w:val="0"/>
                      <w:marBottom w:val="0"/>
                      <w:divBdr>
                        <w:top w:val="none" w:sz="0" w:space="0" w:color="auto"/>
                        <w:left w:val="none" w:sz="0" w:space="0" w:color="auto"/>
                        <w:bottom w:val="none" w:sz="0" w:space="0" w:color="auto"/>
                        <w:right w:val="none" w:sz="0" w:space="0" w:color="auto"/>
                      </w:divBdr>
                    </w:div>
                    <w:div w:id="1967612791">
                      <w:marLeft w:val="0"/>
                      <w:marRight w:val="0"/>
                      <w:marTop w:val="0"/>
                      <w:marBottom w:val="0"/>
                      <w:divBdr>
                        <w:top w:val="none" w:sz="0" w:space="0" w:color="auto"/>
                        <w:left w:val="none" w:sz="0" w:space="0" w:color="auto"/>
                        <w:bottom w:val="none" w:sz="0" w:space="0" w:color="auto"/>
                        <w:right w:val="none" w:sz="0" w:space="0" w:color="auto"/>
                      </w:divBdr>
                    </w:div>
                    <w:div w:id="1866093821">
                      <w:marLeft w:val="0"/>
                      <w:marRight w:val="0"/>
                      <w:marTop w:val="0"/>
                      <w:marBottom w:val="0"/>
                      <w:divBdr>
                        <w:top w:val="none" w:sz="0" w:space="0" w:color="auto"/>
                        <w:left w:val="none" w:sz="0" w:space="0" w:color="auto"/>
                        <w:bottom w:val="none" w:sz="0" w:space="0" w:color="auto"/>
                        <w:right w:val="none" w:sz="0" w:space="0" w:color="auto"/>
                      </w:divBdr>
                    </w:div>
                    <w:div w:id="481626203">
                      <w:marLeft w:val="0"/>
                      <w:marRight w:val="0"/>
                      <w:marTop w:val="0"/>
                      <w:marBottom w:val="0"/>
                      <w:divBdr>
                        <w:top w:val="none" w:sz="0" w:space="0" w:color="auto"/>
                        <w:left w:val="none" w:sz="0" w:space="0" w:color="auto"/>
                        <w:bottom w:val="none" w:sz="0" w:space="0" w:color="auto"/>
                        <w:right w:val="none" w:sz="0" w:space="0" w:color="auto"/>
                      </w:divBdr>
                    </w:div>
                    <w:div w:id="444424911">
                      <w:marLeft w:val="0"/>
                      <w:marRight w:val="0"/>
                      <w:marTop w:val="0"/>
                      <w:marBottom w:val="0"/>
                      <w:divBdr>
                        <w:top w:val="none" w:sz="0" w:space="0" w:color="auto"/>
                        <w:left w:val="none" w:sz="0" w:space="0" w:color="auto"/>
                        <w:bottom w:val="none" w:sz="0" w:space="0" w:color="auto"/>
                        <w:right w:val="none" w:sz="0" w:space="0" w:color="auto"/>
                      </w:divBdr>
                    </w:div>
                    <w:div w:id="1307735358">
                      <w:marLeft w:val="0"/>
                      <w:marRight w:val="0"/>
                      <w:marTop w:val="0"/>
                      <w:marBottom w:val="0"/>
                      <w:divBdr>
                        <w:top w:val="none" w:sz="0" w:space="0" w:color="auto"/>
                        <w:left w:val="none" w:sz="0" w:space="0" w:color="auto"/>
                        <w:bottom w:val="none" w:sz="0" w:space="0" w:color="auto"/>
                        <w:right w:val="none" w:sz="0" w:space="0" w:color="auto"/>
                      </w:divBdr>
                    </w:div>
                    <w:div w:id="105778080">
                      <w:marLeft w:val="0"/>
                      <w:marRight w:val="0"/>
                      <w:marTop w:val="0"/>
                      <w:marBottom w:val="0"/>
                      <w:divBdr>
                        <w:top w:val="none" w:sz="0" w:space="0" w:color="auto"/>
                        <w:left w:val="none" w:sz="0" w:space="0" w:color="auto"/>
                        <w:bottom w:val="none" w:sz="0" w:space="0" w:color="auto"/>
                        <w:right w:val="none" w:sz="0" w:space="0" w:color="auto"/>
                      </w:divBdr>
                    </w:div>
                    <w:div w:id="2024281828">
                      <w:marLeft w:val="0"/>
                      <w:marRight w:val="0"/>
                      <w:marTop w:val="0"/>
                      <w:marBottom w:val="0"/>
                      <w:divBdr>
                        <w:top w:val="none" w:sz="0" w:space="0" w:color="auto"/>
                        <w:left w:val="none" w:sz="0" w:space="0" w:color="auto"/>
                        <w:bottom w:val="none" w:sz="0" w:space="0" w:color="auto"/>
                        <w:right w:val="none" w:sz="0" w:space="0" w:color="auto"/>
                      </w:divBdr>
                    </w:div>
                    <w:div w:id="919365726">
                      <w:marLeft w:val="0"/>
                      <w:marRight w:val="0"/>
                      <w:marTop w:val="0"/>
                      <w:marBottom w:val="0"/>
                      <w:divBdr>
                        <w:top w:val="none" w:sz="0" w:space="0" w:color="auto"/>
                        <w:left w:val="none" w:sz="0" w:space="0" w:color="auto"/>
                        <w:bottom w:val="none" w:sz="0" w:space="0" w:color="auto"/>
                        <w:right w:val="none" w:sz="0" w:space="0" w:color="auto"/>
                      </w:divBdr>
                    </w:div>
                    <w:div w:id="2134472392">
                      <w:marLeft w:val="0"/>
                      <w:marRight w:val="0"/>
                      <w:marTop w:val="0"/>
                      <w:marBottom w:val="0"/>
                      <w:divBdr>
                        <w:top w:val="none" w:sz="0" w:space="0" w:color="auto"/>
                        <w:left w:val="none" w:sz="0" w:space="0" w:color="auto"/>
                        <w:bottom w:val="none" w:sz="0" w:space="0" w:color="auto"/>
                        <w:right w:val="none" w:sz="0" w:space="0" w:color="auto"/>
                      </w:divBdr>
                    </w:div>
                    <w:div w:id="2105490767">
                      <w:marLeft w:val="0"/>
                      <w:marRight w:val="0"/>
                      <w:marTop w:val="0"/>
                      <w:marBottom w:val="0"/>
                      <w:divBdr>
                        <w:top w:val="none" w:sz="0" w:space="0" w:color="auto"/>
                        <w:left w:val="none" w:sz="0" w:space="0" w:color="auto"/>
                        <w:bottom w:val="none" w:sz="0" w:space="0" w:color="auto"/>
                        <w:right w:val="none" w:sz="0" w:space="0" w:color="auto"/>
                      </w:divBdr>
                    </w:div>
                    <w:div w:id="67353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6523108">
      <w:bodyDiv w:val="1"/>
      <w:marLeft w:val="0"/>
      <w:marRight w:val="0"/>
      <w:marTop w:val="0"/>
      <w:marBottom w:val="0"/>
      <w:divBdr>
        <w:top w:val="none" w:sz="0" w:space="0" w:color="auto"/>
        <w:left w:val="none" w:sz="0" w:space="0" w:color="auto"/>
        <w:bottom w:val="none" w:sz="0" w:space="0" w:color="auto"/>
        <w:right w:val="none" w:sz="0" w:space="0" w:color="auto"/>
      </w:divBdr>
      <w:divsChild>
        <w:div w:id="410007532">
          <w:marLeft w:val="0"/>
          <w:marRight w:val="0"/>
          <w:marTop w:val="240"/>
          <w:marBottom w:val="240"/>
          <w:divBdr>
            <w:top w:val="single" w:sz="6" w:space="0" w:color="auto"/>
            <w:left w:val="single" w:sz="6" w:space="0" w:color="auto"/>
            <w:bottom w:val="single" w:sz="6" w:space="0" w:color="auto"/>
            <w:right w:val="single" w:sz="6" w:space="0" w:color="auto"/>
          </w:divBdr>
          <w:divsChild>
            <w:div w:id="790902228">
              <w:marLeft w:val="0"/>
              <w:marRight w:val="0"/>
              <w:marTop w:val="0"/>
              <w:marBottom w:val="0"/>
              <w:divBdr>
                <w:top w:val="none" w:sz="0" w:space="0" w:color="auto"/>
                <w:left w:val="none" w:sz="0" w:space="0" w:color="auto"/>
                <w:bottom w:val="none" w:sz="0" w:space="0" w:color="auto"/>
                <w:right w:val="none" w:sz="0" w:space="0" w:color="auto"/>
              </w:divBdr>
              <w:divsChild>
                <w:div w:id="1201630303">
                  <w:marLeft w:val="0"/>
                  <w:marRight w:val="0"/>
                  <w:marTop w:val="0"/>
                  <w:marBottom w:val="0"/>
                  <w:divBdr>
                    <w:top w:val="none" w:sz="0" w:space="0" w:color="auto"/>
                    <w:left w:val="none" w:sz="0" w:space="0" w:color="auto"/>
                    <w:bottom w:val="none" w:sz="0" w:space="0" w:color="auto"/>
                    <w:right w:val="none" w:sz="0" w:space="0" w:color="auto"/>
                  </w:divBdr>
                  <w:divsChild>
                    <w:div w:id="544952869">
                      <w:marLeft w:val="0"/>
                      <w:marRight w:val="0"/>
                      <w:marTop w:val="0"/>
                      <w:marBottom w:val="0"/>
                      <w:divBdr>
                        <w:top w:val="none" w:sz="0" w:space="0" w:color="auto"/>
                        <w:left w:val="none" w:sz="0" w:space="0" w:color="auto"/>
                        <w:bottom w:val="none" w:sz="0" w:space="0" w:color="auto"/>
                        <w:right w:val="none" w:sz="0" w:space="0" w:color="auto"/>
                      </w:divBdr>
                    </w:div>
                    <w:div w:id="1974478212">
                      <w:marLeft w:val="0"/>
                      <w:marRight w:val="0"/>
                      <w:marTop w:val="0"/>
                      <w:marBottom w:val="0"/>
                      <w:divBdr>
                        <w:top w:val="none" w:sz="0" w:space="0" w:color="auto"/>
                        <w:left w:val="none" w:sz="0" w:space="0" w:color="auto"/>
                        <w:bottom w:val="none" w:sz="0" w:space="0" w:color="auto"/>
                        <w:right w:val="none" w:sz="0" w:space="0" w:color="auto"/>
                      </w:divBdr>
                    </w:div>
                    <w:div w:id="1036546973">
                      <w:marLeft w:val="0"/>
                      <w:marRight w:val="0"/>
                      <w:marTop w:val="0"/>
                      <w:marBottom w:val="0"/>
                      <w:divBdr>
                        <w:top w:val="none" w:sz="0" w:space="0" w:color="auto"/>
                        <w:left w:val="none" w:sz="0" w:space="0" w:color="auto"/>
                        <w:bottom w:val="none" w:sz="0" w:space="0" w:color="auto"/>
                        <w:right w:val="none" w:sz="0" w:space="0" w:color="auto"/>
                      </w:divBdr>
                    </w:div>
                    <w:div w:id="1975326740">
                      <w:marLeft w:val="0"/>
                      <w:marRight w:val="0"/>
                      <w:marTop w:val="0"/>
                      <w:marBottom w:val="0"/>
                      <w:divBdr>
                        <w:top w:val="none" w:sz="0" w:space="0" w:color="auto"/>
                        <w:left w:val="none" w:sz="0" w:space="0" w:color="auto"/>
                        <w:bottom w:val="none" w:sz="0" w:space="0" w:color="auto"/>
                        <w:right w:val="none" w:sz="0" w:space="0" w:color="auto"/>
                      </w:divBdr>
                    </w:div>
                    <w:div w:id="1383023488">
                      <w:marLeft w:val="0"/>
                      <w:marRight w:val="0"/>
                      <w:marTop w:val="0"/>
                      <w:marBottom w:val="0"/>
                      <w:divBdr>
                        <w:top w:val="none" w:sz="0" w:space="0" w:color="auto"/>
                        <w:left w:val="none" w:sz="0" w:space="0" w:color="auto"/>
                        <w:bottom w:val="none" w:sz="0" w:space="0" w:color="auto"/>
                        <w:right w:val="none" w:sz="0" w:space="0" w:color="auto"/>
                      </w:divBdr>
                    </w:div>
                    <w:div w:id="467552443">
                      <w:marLeft w:val="0"/>
                      <w:marRight w:val="0"/>
                      <w:marTop w:val="0"/>
                      <w:marBottom w:val="0"/>
                      <w:divBdr>
                        <w:top w:val="none" w:sz="0" w:space="0" w:color="auto"/>
                        <w:left w:val="none" w:sz="0" w:space="0" w:color="auto"/>
                        <w:bottom w:val="none" w:sz="0" w:space="0" w:color="auto"/>
                        <w:right w:val="none" w:sz="0" w:space="0" w:color="auto"/>
                      </w:divBdr>
                    </w:div>
                    <w:div w:id="1488355182">
                      <w:marLeft w:val="0"/>
                      <w:marRight w:val="0"/>
                      <w:marTop w:val="0"/>
                      <w:marBottom w:val="0"/>
                      <w:divBdr>
                        <w:top w:val="none" w:sz="0" w:space="0" w:color="auto"/>
                        <w:left w:val="none" w:sz="0" w:space="0" w:color="auto"/>
                        <w:bottom w:val="none" w:sz="0" w:space="0" w:color="auto"/>
                        <w:right w:val="none" w:sz="0" w:space="0" w:color="auto"/>
                      </w:divBdr>
                    </w:div>
                    <w:div w:id="1156186510">
                      <w:marLeft w:val="0"/>
                      <w:marRight w:val="0"/>
                      <w:marTop w:val="0"/>
                      <w:marBottom w:val="0"/>
                      <w:divBdr>
                        <w:top w:val="none" w:sz="0" w:space="0" w:color="auto"/>
                        <w:left w:val="none" w:sz="0" w:space="0" w:color="auto"/>
                        <w:bottom w:val="none" w:sz="0" w:space="0" w:color="auto"/>
                        <w:right w:val="none" w:sz="0" w:space="0" w:color="auto"/>
                      </w:divBdr>
                    </w:div>
                    <w:div w:id="973174810">
                      <w:marLeft w:val="0"/>
                      <w:marRight w:val="0"/>
                      <w:marTop w:val="0"/>
                      <w:marBottom w:val="0"/>
                      <w:divBdr>
                        <w:top w:val="none" w:sz="0" w:space="0" w:color="auto"/>
                        <w:left w:val="none" w:sz="0" w:space="0" w:color="auto"/>
                        <w:bottom w:val="none" w:sz="0" w:space="0" w:color="auto"/>
                        <w:right w:val="none" w:sz="0" w:space="0" w:color="auto"/>
                      </w:divBdr>
                    </w:div>
                    <w:div w:id="393311415">
                      <w:marLeft w:val="0"/>
                      <w:marRight w:val="0"/>
                      <w:marTop w:val="0"/>
                      <w:marBottom w:val="0"/>
                      <w:divBdr>
                        <w:top w:val="none" w:sz="0" w:space="0" w:color="auto"/>
                        <w:left w:val="none" w:sz="0" w:space="0" w:color="auto"/>
                        <w:bottom w:val="none" w:sz="0" w:space="0" w:color="auto"/>
                        <w:right w:val="none" w:sz="0" w:space="0" w:color="auto"/>
                      </w:divBdr>
                    </w:div>
                    <w:div w:id="1167552239">
                      <w:marLeft w:val="0"/>
                      <w:marRight w:val="0"/>
                      <w:marTop w:val="0"/>
                      <w:marBottom w:val="0"/>
                      <w:divBdr>
                        <w:top w:val="none" w:sz="0" w:space="0" w:color="auto"/>
                        <w:left w:val="none" w:sz="0" w:space="0" w:color="auto"/>
                        <w:bottom w:val="none" w:sz="0" w:space="0" w:color="auto"/>
                        <w:right w:val="none" w:sz="0" w:space="0" w:color="auto"/>
                      </w:divBdr>
                    </w:div>
                    <w:div w:id="36518479">
                      <w:marLeft w:val="0"/>
                      <w:marRight w:val="0"/>
                      <w:marTop w:val="0"/>
                      <w:marBottom w:val="0"/>
                      <w:divBdr>
                        <w:top w:val="none" w:sz="0" w:space="0" w:color="auto"/>
                        <w:left w:val="none" w:sz="0" w:space="0" w:color="auto"/>
                        <w:bottom w:val="none" w:sz="0" w:space="0" w:color="auto"/>
                        <w:right w:val="none" w:sz="0" w:space="0" w:color="auto"/>
                      </w:divBdr>
                    </w:div>
                    <w:div w:id="212549710">
                      <w:marLeft w:val="0"/>
                      <w:marRight w:val="0"/>
                      <w:marTop w:val="0"/>
                      <w:marBottom w:val="0"/>
                      <w:divBdr>
                        <w:top w:val="none" w:sz="0" w:space="0" w:color="auto"/>
                        <w:left w:val="none" w:sz="0" w:space="0" w:color="auto"/>
                        <w:bottom w:val="none" w:sz="0" w:space="0" w:color="auto"/>
                        <w:right w:val="none" w:sz="0" w:space="0" w:color="auto"/>
                      </w:divBdr>
                    </w:div>
                    <w:div w:id="2035884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3341695">
          <w:marLeft w:val="0"/>
          <w:marRight w:val="0"/>
          <w:marTop w:val="240"/>
          <w:marBottom w:val="240"/>
          <w:divBdr>
            <w:top w:val="single" w:sz="6" w:space="0" w:color="auto"/>
            <w:left w:val="single" w:sz="6" w:space="0" w:color="auto"/>
            <w:bottom w:val="single" w:sz="6" w:space="0" w:color="auto"/>
            <w:right w:val="single" w:sz="6" w:space="0" w:color="auto"/>
          </w:divBdr>
          <w:divsChild>
            <w:div w:id="1656105924">
              <w:marLeft w:val="0"/>
              <w:marRight w:val="0"/>
              <w:marTop w:val="0"/>
              <w:marBottom w:val="0"/>
              <w:divBdr>
                <w:top w:val="none" w:sz="0" w:space="0" w:color="auto"/>
                <w:left w:val="none" w:sz="0" w:space="0" w:color="auto"/>
                <w:bottom w:val="none" w:sz="0" w:space="0" w:color="auto"/>
                <w:right w:val="none" w:sz="0" w:space="0" w:color="auto"/>
              </w:divBdr>
              <w:divsChild>
                <w:div w:id="1340890308">
                  <w:marLeft w:val="0"/>
                  <w:marRight w:val="0"/>
                  <w:marTop w:val="0"/>
                  <w:marBottom w:val="0"/>
                  <w:divBdr>
                    <w:top w:val="none" w:sz="0" w:space="0" w:color="auto"/>
                    <w:left w:val="none" w:sz="0" w:space="0" w:color="auto"/>
                    <w:bottom w:val="none" w:sz="0" w:space="0" w:color="auto"/>
                    <w:right w:val="none" w:sz="0" w:space="0" w:color="auto"/>
                  </w:divBdr>
                  <w:divsChild>
                    <w:div w:id="1584410817">
                      <w:marLeft w:val="0"/>
                      <w:marRight w:val="0"/>
                      <w:marTop w:val="0"/>
                      <w:marBottom w:val="0"/>
                      <w:divBdr>
                        <w:top w:val="none" w:sz="0" w:space="0" w:color="auto"/>
                        <w:left w:val="none" w:sz="0" w:space="0" w:color="auto"/>
                        <w:bottom w:val="none" w:sz="0" w:space="0" w:color="auto"/>
                        <w:right w:val="none" w:sz="0" w:space="0" w:color="auto"/>
                      </w:divBdr>
                    </w:div>
                    <w:div w:id="1707637388">
                      <w:marLeft w:val="0"/>
                      <w:marRight w:val="0"/>
                      <w:marTop w:val="0"/>
                      <w:marBottom w:val="0"/>
                      <w:divBdr>
                        <w:top w:val="none" w:sz="0" w:space="0" w:color="auto"/>
                        <w:left w:val="none" w:sz="0" w:space="0" w:color="auto"/>
                        <w:bottom w:val="none" w:sz="0" w:space="0" w:color="auto"/>
                        <w:right w:val="none" w:sz="0" w:space="0" w:color="auto"/>
                      </w:divBdr>
                    </w:div>
                    <w:div w:id="75060441">
                      <w:marLeft w:val="0"/>
                      <w:marRight w:val="0"/>
                      <w:marTop w:val="0"/>
                      <w:marBottom w:val="0"/>
                      <w:divBdr>
                        <w:top w:val="none" w:sz="0" w:space="0" w:color="auto"/>
                        <w:left w:val="none" w:sz="0" w:space="0" w:color="auto"/>
                        <w:bottom w:val="none" w:sz="0" w:space="0" w:color="auto"/>
                        <w:right w:val="none" w:sz="0" w:space="0" w:color="auto"/>
                      </w:divBdr>
                    </w:div>
                    <w:div w:id="697391958">
                      <w:marLeft w:val="0"/>
                      <w:marRight w:val="0"/>
                      <w:marTop w:val="0"/>
                      <w:marBottom w:val="0"/>
                      <w:divBdr>
                        <w:top w:val="none" w:sz="0" w:space="0" w:color="auto"/>
                        <w:left w:val="none" w:sz="0" w:space="0" w:color="auto"/>
                        <w:bottom w:val="none" w:sz="0" w:space="0" w:color="auto"/>
                        <w:right w:val="none" w:sz="0" w:space="0" w:color="auto"/>
                      </w:divBdr>
                    </w:div>
                    <w:div w:id="189297003">
                      <w:marLeft w:val="0"/>
                      <w:marRight w:val="0"/>
                      <w:marTop w:val="0"/>
                      <w:marBottom w:val="0"/>
                      <w:divBdr>
                        <w:top w:val="none" w:sz="0" w:space="0" w:color="auto"/>
                        <w:left w:val="none" w:sz="0" w:space="0" w:color="auto"/>
                        <w:bottom w:val="none" w:sz="0" w:space="0" w:color="auto"/>
                        <w:right w:val="none" w:sz="0" w:space="0" w:color="auto"/>
                      </w:divBdr>
                    </w:div>
                    <w:div w:id="1323388208">
                      <w:marLeft w:val="0"/>
                      <w:marRight w:val="0"/>
                      <w:marTop w:val="0"/>
                      <w:marBottom w:val="0"/>
                      <w:divBdr>
                        <w:top w:val="none" w:sz="0" w:space="0" w:color="auto"/>
                        <w:left w:val="none" w:sz="0" w:space="0" w:color="auto"/>
                        <w:bottom w:val="none" w:sz="0" w:space="0" w:color="auto"/>
                        <w:right w:val="none" w:sz="0" w:space="0" w:color="auto"/>
                      </w:divBdr>
                    </w:div>
                    <w:div w:id="1128939047">
                      <w:marLeft w:val="0"/>
                      <w:marRight w:val="0"/>
                      <w:marTop w:val="0"/>
                      <w:marBottom w:val="0"/>
                      <w:divBdr>
                        <w:top w:val="none" w:sz="0" w:space="0" w:color="auto"/>
                        <w:left w:val="none" w:sz="0" w:space="0" w:color="auto"/>
                        <w:bottom w:val="none" w:sz="0" w:space="0" w:color="auto"/>
                        <w:right w:val="none" w:sz="0" w:space="0" w:color="auto"/>
                      </w:divBdr>
                    </w:div>
                    <w:div w:id="2084376316">
                      <w:marLeft w:val="0"/>
                      <w:marRight w:val="0"/>
                      <w:marTop w:val="0"/>
                      <w:marBottom w:val="0"/>
                      <w:divBdr>
                        <w:top w:val="none" w:sz="0" w:space="0" w:color="auto"/>
                        <w:left w:val="none" w:sz="0" w:space="0" w:color="auto"/>
                        <w:bottom w:val="none" w:sz="0" w:space="0" w:color="auto"/>
                        <w:right w:val="none" w:sz="0" w:space="0" w:color="auto"/>
                      </w:divBdr>
                    </w:div>
                    <w:div w:id="1469856049">
                      <w:marLeft w:val="0"/>
                      <w:marRight w:val="0"/>
                      <w:marTop w:val="0"/>
                      <w:marBottom w:val="0"/>
                      <w:divBdr>
                        <w:top w:val="none" w:sz="0" w:space="0" w:color="auto"/>
                        <w:left w:val="none" w:sz="0" w:space="0" w:color="auto"/>
                        <w:bottom w:val="none" w:sz="0" w:space="0" w:color="auto"/>
                        <w:right w:val="none" w:sz="0" w:space="0" w:color="auto"/>
                      </w:divBdr>
                    </w:div>
                    <w:div w:id="780077408">
                      <w:marLeft w:val="0"/>
                      <w:marRight w:val="0"/>
                      <w:marTop w:val="0"/>
                      <w:marBottom w:val="0"/>
                      <w:divBdr>
                        <w:top w:val="none" w:sz="0" w:space="0" w:color="auto"/>
                        <w:left w:val="none" w:sz="0" w:space="0" w:color="auto"/>
                        <w:bottom w:val="none" w:sz="0" w:space="0" w:color="auto"/>
                        <w:right w:val="none" w:sz="0" w:space="0" w:color="auto"/>
                      </w:divBdr>
                    </w:div>
                    <w:div w:id="979190527">
                      <w:marLeft w:val="0"/>
                      <w:marRight w:val="0"/>
                      <w:marTop w:val="0"/>
                      <w:marBottom w:val="0"/>
                      <w:divBdr>
                        <w:top w:val="none" w:sz="0" w:space="0" w:color="auto"/>
                        <w:left w:val="none" w:sz="0" w:space="0" w:color="auto"/>
                        <w:bottom w:val="none" w:sz="0" w:space="0" w:color="auto"/>
                        <w:right w:val="none" w:sz="0" w:space="0" w:color="auto"/>
                      </w:divBdr>
                    </w:div>
                    <w:div w:id="1448506939">
                      <w:marLeft w:val="0"/>
                      <w:marRight w:val="0"/>
                      <w:marTop w:val="0"/>
                      <w:marBottom w:val="0"/>
                      <w:divBdr>
                        <w:top w:val="none" w:sz="0" w:space="0" w:color="auto"/>
                        <w:left w:val="none" w:sz="0" w:space="0" w:color="auto"/>
                        <w:bottom w:val="none" w:sz="0" w:space="0" w:color="auto"/>
                        <w:right w:val="none" w:sz="0" w:space="0" w:color="auto"/>
                      </w:divBdr>
                    </w:div>
                    <w:div w:id="1796177839">
                      <w:marLeft w:val="0"/>
                      <w:marRight w:val="0"/>
                      <w:marTop w:val="0"/>
                      <w:marBottom w:val="0"/>
                      <w:divBdr>
                        <w:top w:val="none" w:sz="0" w:space="0" w:color="auto"/>
                        <w:left w:val="none" w:sz="0" w:space="0" w:color="auto"/>
                        <w:bottom w:val="none" w:sz="0" w:space="0" w:color="auto"/>
                        <w:right w:val="none" w:sz="0" w:space="0" w:color="auto"/>
                      </w:divBdr>
                    </w:div>
                    <w:div w:id="2012951069">
                      <w:marLeft w:val="0"/>
                      <w:marRight w:val="0"/>
                      <w:marTop w:val="0"/>
                      <w:marBottom w:val="0"/>
                      <w:divBdr>
                        <w:top w:val="none" w:sz="0" w:space="0" w:color="auto"/>
                        <w:left w:val="none" w:sz="0" w:space="0" w:color="auto"/>
                        <w:bottom w:val="none" w:sz="0" w:space="0" w:color="auto"/>
                        <w:right w:val="none" w:sz="0" w:space="0" w:color="auto"/>
                      </w:divBdr>
                    </w:div>
                    <w:div w:id="637032514">
                      <w:marLeft w:val="0"/>
                      <w:marRight w:val="0"/>
                      <w:marTop w:val="0"/>
                      <w:marBottom w:val="0"/>
                      <w:divBdr>
                        <w:top w:val="none" w:sz="0" w:space="0" w:color="auto"/>
                        <w:left w:val="none" w:sz="0" w:space="0" w:color="auto"/>
                        <w:bottom w:val="none" w:sz="0" w:space="0" w:color="auto"/>
                        <w:right w:val="none" w:sz="0" w:space="0" w:color="auto"/>
                      </w:divBdr>
                    </w:div>
                    <w:div w:id="230505904">
                      <w:marLeft w:val="0"/>
                      <w:marRight w:val="0"/>
                      <w:marTop w:val="0"/>
                      <w:marBottom w:val="0"/>
                      <w:divBdr>
                        <w:top w:val="none" w:sz="0" w:space="0" w:color="auto"/>
                        <w:left w:val="none" w:sz="0" w:space="0" w:color="auto"/>
                        <w:bottom w:val="none" w:sz="0" w:space="0" w:color="auto"/>
                        <w:right w:val="none" w:sz="0" w:space="0" w:color="auto"/>
                      </w:divBdr>
                    </w:div>
                    <w:div w:id="534537250">
                      <w:marLeft w:val="0"/>
                      <w:marRight w:val="0"/>
                      <w:marTop w:val="0"/>
                      <w:marBottom w:val="0"/>
                      <w:divBdr>
                        <w:top w:val="none" w:sz="0" w:space="0" w:color="auto"/>
                        <w:left w:val="none" w:sz="0" w:space="0" w:color="auto"/>
                        <w:bottom w:val="none" w:sz="0" w:space="0" w:color="auto"/>
                        <w:right w:val="none" w:sz="0" w:space="0" w:color="auto"/>
                      </w:divBdr>
                    </w:div>
                    <w:div w:id="351228479">
                      <w:marLeft w:val="0"/>
                      <w:marRight w:val="0"/>
                      <w:marTop w:val="0"/>
                      <w:marBottom w:val="0"/>
                      <w:divBdr>
                        <w:top w:val="none" w:sz="0" w:space="0" w:color="auto"/>
                        <w:left w:val="none" w:sz="0" w:space="0" w:color="auto"/>
                        <w:bottom w:val="none" w:sz="0" w:space="0" w:color="auto"/>
                        <w:right w:val="none" w:sz="0" w:space="0" w:color="auto"/>
                      </w:divBdr>
                    </w:div>
                    <w:div w:id="1421636111">
                      <w:marLeft w:val="0"/>
                      <w:marRight w:val="0"/>
                      <w:marTop w:val="0"/>
                      <w:marBottom w:val="0"/>
                      <w:divBdr>
                        <w:top w:val="none" w:sz="0" w:space="0" w:color="auto"/>
                        <w:left w:val="none" w:sz="0" w:space="0" w:color="auto"/>
                        <w:bottom w:val="none" w:sz="0" w:space="0" w:color="auto"/>
                        <w:right w:val="none" w:sz="0" w:space="0" w:color="auto"/>
                      </w:divBdr>
                    </w:div>
                    <w:div w:id="1134909592">
                      <w:marLeft w:val="0"/>
                      <w:marRight w:val="0"/>
                      <w:marTop w:val="0"/>
                      <w:marBottom w:val="0"/>
                      <w:divBdr>
                        <w:top w:val="none" w:sz="0" w:space="0" w:color="auto"/>
                        <w:left w:val="none" w:sz="0" w:space="0" w:color="auto"/>
                        <w:bottom w:val="none" w:sz="0" w:space="0" w:color="auto"/>
                        <w:right w:val="none" w:sz="0" w:space="0" w:color="auto"/>
                      </w:divBdr>
                    </w:div>
                    <w:div w:id="1417555756">
                      <w:marLeft w:val="0"/>
                      <w:marRight w:val="0"/>
                      <w:marTop w:val="0"/>
                      <w:marBottom w:val="0"/>
                      <w:divBdr>
                        <w:top w:val="none" w:sz="0" w:space="0" w:color="auto"/>
                        <w:left w:val="none" w:sz="0" w:space="0" w:color="auto"/>
                        <w:bottom w:val="none" w:sz="0" w:space="0" w:color="auto"/>
                        <w:right w:val="none" w:sz="0" w:space="0" w:color="auto"/>
                      </w:divBdr>
                    </w:div>
                    <w:div w:id="949583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2019485">
          <w:marLeft w:val="0"/>
          <w:marRight w:val="0"/>
          <w:marTop w:val="240"/>
          <w:marBottom w:val="240"/>
          <w:divBdr>
            <w:top w:val="single" w:sz="6" w:space="0" w:color="auto"/>
            <w:left w:val="single" w:sz="6" w:space="0" w:color="auto"/>
            <w:bottom w:val="single" w:sz="6" w:space="0" w:color="auto"/>
            <w:right w:val="single" w:sz="6" w:space="0" w:color="auto"/>
          </w:divBdr>
          <w:divsChild>
            <w:div w:id="1650867026">
              <w:marLeft w:val="0"/>
              <w:marRight w:val="0"/>
              <w:marTop w:val="0"/>
              <w:marBottom w:val="0"/>
              <w:divBdr>
                <w:top w:val="none" w:sz="0" w:space="0" w:color="auto"/>
                <w:left w:val="none" w:sz="0" w:space="0" w:color="auto"/>
                <w:bottom w:val="none" w:sz="0" w:space="0" w:color="auto"/>
                <w:right w:val="none" w:sz="0" w:space="0" w:color="auto"/>
              </w:divBdr>
              <w:divsChild>
                <w:div w:id="181286591">
                  <w:marLeft w:val="0"/>
                  <w:marRight w:val="0"/>
                  <w:marTop w:val="0"/>
                  <w:marBottom w:val="0"/>
                  <w:divBdr>
                    <w:top w:val="none" w:sz="0" w:space="0" w:color="auto"/>
                    <w:left w:val="none" w:sz="0" w:space="0" w:color="auto"/>
                    <w:bottom w:val="none" w:sz="0" w:space="0" w:color="auto"/>
                    <w:right w:val="none" w:sz="0" w:space="0" w:color="auto"/>
                  </w:divBdr>
                  <w:divsChild>
                    <w:div w:id="1973557912">
                      <w:marLeft w:val="0"/>
                      <w:marRight w:val="0"/>
                      <w:marTop w:val="0"/>
                      <w:marBottom w:val="0"/>
                      <w:divBdr>
                        <w:top w:val="none" w:sz="0" w:space="0" w:color="auto"/>
                        <w:left w:val="none" w:sz="0" w:space="0" w:color="auto"/>
                        <w:bottom w:val="none" w:sz="0" w:space="0" w:color="auto"/>
                        <w:right w:val="none" w:sz="0" w:space="0" w:color="auto"/>
                      </w:divBdr>
                    </w:div>
                    <w:div w:id="1087384563">
                      <w:marLeft w:val="0"/>
                      <w:marRight w:val="0"/>
                      <w:marTop w:val="0"/>
                      <w:marBottom w:val="0"/>
                      <w:divBdr>
                        <w:top w:val="none" w:sz="0" w:space="0" w:color="auto"/>
                        <w:left w:val="none" w:sz="0" w:space="0" w:color="auto"/>
                        <w:bottom w:val="none" w:sz="0" w:space="0" w:color="auto"/>
                        <w:right w:val="none" w:sz="0" w:space="0" w:color="auto"/>
                      </w:divBdr>
                    </w:div>
                    <w:div w:id="362244572">
                      <w:marLeft w:val="0"/>
                      <w:marRight w:val="0"/>
                      <w:marTop w:val="0"/>
                      <w:marBottom w:val="0"/>
                      <w:divBdr>
                        <w:top w:val="none" w:sz="0" w:space="0" w:color="auto"/>
                        <w:left w:val="none" w:sz="0" w:space="0" w:color="auto"/>
                        <w:bottom w:val="none" w:sz="0" w:space="0" w:color="auto"/>
                        <w:right w:val="none" w:sz="0" w:space="0" w:color="auto"/>
                      </w:divBdr>
                    </w:div>
                    <w:div w:id="1235317282">
                      <w:marLeft w:val="0"/>
                      <w:marRight w:val="0"/>
                      <w:marTop w:val="0"/>
                      <w:marBottom w:val="0"/>
                      <w:divBdr>
                        <w:top w:val="none" w:sz="0" w:space="0" w:color="auto"/>
                        <w:left w:val="none" w:sz="0" w:space="0" w:color="auto"/>
                        <w:bottom w:val="none" w:sz="0" w:space="0" w:color="auto"/>
                        <w:right w:val="none" w:sz="0" w:space="0" w:color="auto"/>
                      </w:divBdr>
                    </w:div>
                    <w:div w:id="1061296826">
                      <w:marLeft w:val="0"/>
                      <w:marRight w:val="0"/>
                      <w:marTop w:val="0"/>
                      <w:marBottom w:val="0"/>
                      <w:divBdr>
                        <w:top w:val="none" w:sz="0" w:space="0" w:color="auto"/>
                        <w:left w:val="none" w:sz="0" w:space="0" w:color="auto"/>
                        <w:bottom w:val="none" w:sz="0" w:space="0" w:color="auto"/>
                        <w:right w:val="none" w:sz="0" w:space="0" w:color="auto"/>
                      </w:divBdr>
                    </w:div>
                    <w:div w:id="1571816879">
                      <w:marLeft w:val="0"/>
                      <w:marRight w:val="0"/>
                      <w:marTop w:val="0"/>
                      <w:marBottom w:val="0"/>
                      <w:divBdr>
                        <w:top w:val="none" w:sz="0" w:space="0" w:color="auto"/>
                        <w:left w:val="none" w:sz="0" w:space="0" w:color="auto"/>
                        <w:bottom w:val="none" w:sz="0" w:space="0" w:color="auto"/>
                        <w:right w:val="none" w:sz="0" w:space="0" w:color="auto"/>
                      </w:divBdr>
                    </w:div>
                    <w:div w:id="639115406">
                      <w:marLeft w:val="0"/>
                      <w:marRight w:val="0"/>
                      <w:marTop w:val="0"/>
                      <w:marBottom w:val="0"/>
                      <w:divBdr>
                        <w:top w:val="none" w:sz="0" w:space="0" w:color="auto"/>
                        <w:left w:val="none" w:sz="0" w:space="0" w:color="auto"/>
                        <w:bottom w:val="none" w:sz="0" w:space="0" w:color="auto"/>
                        <w:right w:val="none" w:sz="0" w:space="0" w:color="auto"/>
                      </w:divBdr>
                    </w:div>
                    <w:div w:id="2020112623">
                      <w:marLeft w:val="0"/>
                      <w:marRight w:val="0"/>
                      <w:marTop w:val="0"/>
                      <w:marBottom w:val="0"/>
                      <w:divBdr>
                        <w:top w:val="none" w:sz="0" w:space="0" w:color="auto"/>
                        <w:left w:val="none" w:sz="0" w:space="0" w:color="auto"/>
                        <w:bottom w:val="none" w:sz="0" w:space="0" w:color="auto"/>
                        <w:right w:val="none" w:sz="0" w:space="0" w:color="auto"/>
                      </w:divBdr>
                    </w:div>
                    <w:div w:id="197207772">
                      <w:marLeft w:val="0"/>
                      <w:marRight w:val="0"/>
                      <w:marTop w:val="0"/>
                      <w:marBottom w:val="0"/>
                      <w:divBdr>
                        <w:top w:val="none" w:sz="0" w:space="0" w:color="auto"/>
                        <w:left w:val="none" w:sz="0" w:space="0" w:color="auto"/>
                        <w:bottom w:val="none" w:sz="0" w:space="0" w:color="auto"/>
                        <w:right w:val="none" w:sz="0" w:space="0" w:color="auto"/>
                      </w:divBdr>
                    </w:div>
                    <w:div w:id="1504391472">
                      <w:marLeft w:val="0"/>
                      <w:marRight w:val="0"/>
                      <w:marTop w:val="0"/>
                      <w:marBottom w:val="0"/>
                      <w:divBdr>
                        <w:top w:val="none" w:sz="0" w:space="0" w:color="auto"/>
                        <w:left w:val="none" w:sz="0" w:space="0" w:color="auto"/>
                        <w:bottom w:val="none" w:sz="0" w:space="0" w:color="auto"/>
                        <w:right w:val="none" w:sz="0" w:space="0" w:color="auto"/>
                      </w:divBdr>
                    </w:div>
                    <w:div w:id="339896535">
                      <w:marLeft w:val="0"/>
                      <w:marRight w:val="0"/>
                      <w:marTop w:val="0"/>
                      <w:marBottom w:val="0"/>
                      <w:divBdr>
                        <w:top w:val="none" w:sz="0" w:space="0" w:color="auto"/>
                        <w:left w:val="none" w:sz="0" w:space="0" w:color="auto"/>
                        <w:bottom w:val="none" w:sz="0" w:space="0" w:color="auto"/>
                        <w:right w:val="none" w:sz="0" w:space="0" w:color="auto"/>
                      </w:divBdr>
                    </w:div>
                    <w:div w:id="38758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8255606">
          <w:marLeft w:val="0"/>
          <w:marRight w:val="0"/>
          <w:marTop w:val="240"/>
          <w:marBottom w:val="240"/>
          <w:divBdr>
            <w:top w:val="single" w:sz="6" w:space="0" w:color="auto"/>
            <w:left w:val="single" w:sz="6" w:space="0" w:color="auto"/>
            <w:bottom w:val="single" w:sz="6" w:space="0" w:color="auto"/>
            <w:right w:val="single" w:sz="6" w:space="0" w:color="auto"/>
          </w:divBdr>
          <w:divsChild>
            <w:div w:id="1943492552">
              <w:marLeft w:val="0"/>
              <w:marRight w:val="0"/>
              <w:marTop w:val="0"/>
              <w:marBottom w:val="0"/>
              <w:divBdr>
                <w:top w:val="none" w:sz="0" w:space="0" w:color="auto"/>
                <w:left w:val="none" w:sz="0" w:space="0" w:color="auto"/>
                <w:bottom w:val="none" w:sz="0" w:space="0" w:color="auto"/>
                <w:right w:val="none" w:sz="0" w:space="0" w:color="auto"/>
              </w:divBdr>
              <w:divsChild>
                <w:div w:id="1294288941">
                  <w:marLeft w:val="0"/>
                  <w:marRight w:val="0"/>
                  <w:marTop w:val="0"/>
                  <w:marBottom w:val="0"/>
                  <w:divBdr>
                    <w:top w:val="none" w:sz="0" w:space="0" w:color="auto"/>
                    <w:left w:val="none" w:sz="0" w:space="0" w:color="auto"/>
                    <w:bottom w:val="none" w:sz="0" w:space="0" w:color="auto"/>
                    <w:right w:val="none" w:sz="0" w:space="0" w:color="auto"/>
                  </w:divBdr>
                  <w:divsChild>
                    <w:div w:id="1775438615">
                      <w:marLeft w:val="0"/>
                      <w:marRight w:val="0"/>
                      <w:marTop w:val="0"/>
                      <w:marBottom w:val="0"/>
                      <w:divBdr>
                        <w:top w:val="none" w:sz="0" w:space="0" w:color="auto"/>
                        <w:left w:val="none" w:sz="0" w:space="0" w:color="auto"/>
                        <w:bottom w:val="none" w:sz="0" w:space="0" w:color="auto"/>
                        <w:right w:val="none" w:sz="0" w:space="0" w:color="auto"/>
                      </w:divBdr>
                    </w:div>
                    <w:div w:id="57435986">
                      <w:marLeft w:val="0"/>
                      <w:marRight w:val="0"/>
                      <w:marTop w:val="0"/>
                      <w:marBottom w:val="0"/>
                      <w:divBdr>
                        <w:top w:val="none" w:sz="0" w:space="0" w:color="auto"/>
                        <w:left w:val="none" w:sz="0" w:space="0" w:color="auto"/>
                        <w:bottom w:val="none" w:sz="0" w:space="0" w:color="auto"/>
                        <w:right w:val="none" w:sz="0" w:space="0" w:color="auto"/>
                      </w:divBdr>
                    </w:div>
                    <w:div w:id="1262572136">
                      <w:marLeft w:val="0"/>
                      <w:marRight w:val="0"/>
                      <w:marTop w:val="0"/>
                      <w:marBottom w:val="0"/>
                      <w:divBdr>
                        <w:top w:val="none" w:sz="0" w:space="0" w:color="auto"/>
                        <w:left w:val="none" w:sz="0" w:space="0" w:color="auto"/>
                        <w:bottom w:val="none" w:sz="0" w:space="0" w:color="auto"/>
                        <w:right w:val="none" w:sz="0" w:space="0" w:color="auto"/>
                      </w:divBdr>
                    </w:div>
                    <w:div w:id="1924607577">
                      <w:marLeft w:val="0"/>
                      <w:marRight w:val="0"/>
                      <w:marTop w:val="0"/>
                      <w:marBottom w:val="0"/>
                      <w:divBdr>
                        <w:top w:val="none" w:sz="0" w:space="0" w:color="auto"/>
                        <w:left w:val="none" w:sz="0" w:space="0" w:color="auto"/>
                        <w:bottom w:val="none" w:sz="0" w:space="0" w:color="auto"/>
                        <w:right w:val="none" w:sz="0" w:space="0" w:color="auto"/>
                      </w:divBdr>
                    </w:div>
                    <w:div w:id="496579693">
                      <w:marLeft w:val="0"/>
                      <w:marRight w:val="0"/>
                      <w:marTop w:val="0"/>
                      <w:marBottom w:val="0"/>
                      <w:divBdr>
                        <w:top w:val="none" w:sz="0" w:space="0" w:color="auto"/>
                        <w:left w:val="none" w:sz="0" w:space="0" w:color="auto"/>
                        <w:bottom w:val="none" w:sz="0" w:space="0" w:color="auto"/>
                        <w:right w:val="none" w:sz="0" w:space="0" w:color="auto"/>
                      </w:divBdr>
                    </w:div>
                    <w:div w:id="120502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202765">
          <w:marLeft w:val="0"/>
          <w:marRight w:val="0"/>
          <w:marTop w:val="240"/>
          <w:marBottom w:val="240"/>
          <w:divBdr>
            <w:top w:val="single" w:sz="6" w:space="0" w:color="auto"/>
            <w:left w:val="single" w:sz="6" w:space="0" w:color="auto"/>
            <w:bottom w:val="single" w:sz="6" w:space="0" w:color="auto"/>
            <w:right w:val="single" w:sz="6" w:space="0" w:color="auto"/>
          </w:divBdr>
          <w:divsChild>
            <w:div w:id="500702649">
              <w:marLeft w:val="0"/>
              <w:marRight w:val="0"/>
              <w:marTop w:val="0"/>
              <w:marBottom w:val="0"/>
              <w:divBdr>
                <w:top w:val="none" w:sz="0" w:space="0" w:color="auto"/>
                <w:left w:val="none" w:sz="0" w:space="0" w:color="auto"/>
                <w:bottom w:val="none" w:sz="0" w:space="0" w:color="auto"/>
                <w:right w:val="none" w:sz="0" w:space="0" w:color="auto"/>
              </w:divBdr>
              <w:divsChild>
                <w:div w:id="1253973065">
                  <w:marLeft w:val="0"/>
                  <w:marRight w:val="0"/>
                  <w:marTop w:val="0"/>
                  <w:marBottom w:val="0"/>
                  <w:divBdr>
                    <w:top w:val="none" w:sz="0" w:space="0" w:color="auto"/>
                    <w:left w:val="none" w:sz="0" w:space="0" w:color="auto"/>
                    <w:bottom w:val="none" w:sz="0" w:space="0" w:color="auto"/>
                    <w:right w:val="none" w:sz="0" w:space="0" w:color="auto"/>
                  </w:divBdr>
                  <w:divsChild>
                    <w:div w:id="646276716">
                      <w:marLeft w:val="0"/>
                      <w:marRight w:val="0"/>
                      <w:marTop w:val="0"/>
                      <w:marBottom w:val="0"/>
                      <w:divBdr>
                        <w:top w:val="none" w:sz="0" w:space="0" w:color="auto"/>
                        <w:left w:val="none" w:sz="0" w:space="0" w:color="auto"/>
                        <w:bottom w:val="none" w:sz="0" w:space="0" w:color="auto"/>
                        <w:right w:val="none" w:sz="0" w:space="0" w:color="auto"/>
                      </w:divBdr>
                    </w:div>
                    <w:div w:id="1669863849">
                      <w:marLeft w:val="0"/>
                      <w:marRight w:val="0"/>
                      <w:marTop w:val="0"/>
                      <w:marBottom w:val="0"/>
                      <w:divBdr>
                        <w:top w:val="none" w:sz="0" w:space="0" w:color="auto"/>
                        <w:left w:val="none" w:sz="0" w:space="0" w:color="auto"/>
                        <w:bottom w:val="none" w:sz="0" w:space="0" w:color="auto"/>
                        <w:right w:val="none" w:sz="0" w:space="0" w:color="auto"/>
                      </w:divBdr>
                    </w:div>
                    <w:div w:id="2046636232">
                      <w:marLeft w:val="0"/>
                      <w:marRight w:val="0"/>
                      <w:marTop w:val="0"/>
                      <w:marBottom w:val="0"/>
                      <w:divBdr>
                        <w:top w:val="none" w:sz="0" w:space="0" w:color="auto"/>
                        <w:left w:val="none" w:sz="0" w:space="0" w:color="auto"/>
                        <w:bottom w:val="none" w:sz="0" w:space="0" w:color="auto"/>
                        <w:right w:val="none" w:sz="0" w:space="0" w:color="auto"/>
                      </w:divBdr>
                    </w:div>
                    <w:div w:id="1907910685">
                      <w:marLeft w:val="0"/>
                      <w:marRight w:val="0"/>
                      <w:marTop w:val="0"/>
                      <w:marBottom w:val="0"/>
                      <w:divBdr>
                        <w:top w:val="none" w:sz="0" w:space="0" w:color="auto"/>
                        <w:left w:val="none" w:sz="0" w:space="0" w:color="auto"/>
                        <w:bottom w:val="none" w:sz="0" w:space="0" w:color="auto"/>
                        <w:right w:val="none" w:sz="0" w:space="0" w:color="auto"/>
                      </w:divBdr>
                    </w:div>
                    <w:div w:id="1184247442">
                      <w:marLeft w:val="0"/>
                      <w:marRight w:val="0"/>
                      <w:marTop w:val="0"/>
                      <w:marBottom w:val="0"/>
                      <w:divBdr>
                        <w:top w:val="none" w:sz="0" w:space="0" w:color="auto"/>
                        <w:left w:val="none" w:sz="0" w:space="0" w:color="auto"/>
                        <w:bottom w:val="none" w:sz="0" w:space="0" w:color="auto"/>
                        <w:right w:val="none" w:sz="0" w:space="0" w:color="auto"/>
                      </w:divBdr>
                    </w:div>
                    <w:div w:id="1016808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172653">
      <w:bodyDiv w:val="1"/>
      <w:marLeft w:val="0"/>
      <w:marRight w:val="0"/>
      <w:marTop w:val="0"/>
      <w:marBottom w:val="0"/>
      <w:divBdr>
        <w:top w:val="none" w:sz="0" w:space="0" w:color="auto"/>
        <w:left w:val="none" w:sz="0" w:space="0" w:color="auto"/>
        <w:bottom w:val="none" w:sz="0" w:space="0" w:color="auto"/>
        <w:right w:val="none" w:sz="0" w:space="0" w:color="auto"/>
      </w:divBdr>
      <w:divsChild>
        <w:div w:id="1839542857">
          <w:marLeft w:val="0"/>
          <w:marRight w:val="0"/>
          <w:marTop w:val="240"/>
          <w:marBottom w:val="240"/>
          <w:divBdr>
            <w:top w:val="single" w:sz="6" w:space="0" w:color="auto"/>
            <w:left w:val="single" w:sz="6" w:space="0" w:color="auto"/>
            <w:bottom w:val="single" w:sz="6" w:space="0" w:color="auto"/>
            <w:right w:val="single" w:sz="6" w:space="0" w:color="auto"/>
          </w:divBdr>
          <w:divsChild>
            <w:div w:id="779759035">
              <w:marLeft w:val="0"/>
              <w:marRight w:val="0"/>
              <w:marTop w:val="0"/>
              <w:marBottom w:val="0"/>
              <w:divBdr>
                <w:top w:val="none" w:sz="0" w:space="0" w:color="auto"/>
                <w:left w:val="none" w:sz="0" w:space="0" w:color="auto"/>
                <w:bottom w:val="none" w:sz="0" w:space="0" w:color="auto"/>
                <w:right w:val="none" w:sz="0" w:space="0" w:color="auto"/>
              </w:divBdr>
              <w:divsChild>
                <w:div w:id="997920400">
                  <w:marLeft w:val="0"/>
                  <w:marRight w:val="0"/>
                  <w:marTop w:val="0"/>
                  <w:marBottom w:val="0"/>
                  <w:divBdr>
                    <w:top w:val="none" w:sz="0" w:space="0" w:color="auto"/>
                    <w:left w:val="none" w:sz="0" w:space="0" w:color="auto"/>
                    <w:bottom w:val="none" w:sz="0" w:space="0" w:color="auto"/>
                    <w:right w:val="none" w:sz="0" w:space="0" w:color="auto"/>
                  </w:divBdr>
                  <w:divsChild>
                    <w:div w:id="420491109">
                      <w:marLeft w:val="0"/>
                      <w:marRight w:val="0"/>
                      <w:marTop w:val="0"/>
                      <w:marBottom w:val="0"/>
                      <w:divBdr>
                        <w:top w:val="none" w:sz="0" w:space="0" w:color="auto"/>
                        <w:left w:val="none" w:sz="0" w:space="0" w:color="auto"/>
                        <w:bottom w:val="none" w:sz="0" w:space="0" w:color="auto"/>
                        <w:right w:val="none" w:sz="0" w:space="0" w:color="auto"/>
                      </w:divBdr>
                    </w:div>
                    <w:div w:id="1442142794">
                      <w:marLeft w:val="0"/>
                      <w:marRight w:val="0"/>
                      <w:marTop w:val="0"/>
                      <w:marBottom w:val="0"/>
                      <w:divBdr>
                        <w:top w:val="none" w:sz="0" w:space="0" w:color="auto"/>
                        <w:left w:val="none" w:sz="0" w:space="0" w:color="auto"/>
                        <w:bottom w:val="none" w:sz="0" w:space="0" w:color="auto"/>
                        <w:right w:val="none" w:sz="0" w:space="0" w:color="auto"/>
                      </w:divBdr>
                    </w:div>
                    <w:div w:id="1688750457">
                      <w:marLeft w:val="0"/>
                      <w:marRight w:val="0"/>
                      <w:marTop w:val="0"/>
                      <w:marBottom w:val="0"/>
                      <w:divBdr>
                        <w:top w:val="none" w:sz="0" w:space="0" w:color="auto"/>
                        <w:left w:val="none" w:sz="0" w:space="0" w:color="auto"/>
                        <w:bottom w:val="none" w:sz="0" w:space="0" w:color="auto"/>
                        <w:right w:val="none" w:sz="0" w:space="0" w:color="auto"/>
                      </w:divBdr>
                    </w:div>
                    <w:div w:id="1356153289">
                      <w:marLeft w:val="0"/>
                      <w:marRight w:val="0"/>
                      <w:marTop w:val="0"/>
                      <w:marBottom w:val="0"/>
                      <w:divBdr>
                        <w:top w:val="none" w:sz="0" w:space="0" w:color="auto"/>
                        <w:left w:val="none" w:sz="0" w:space="0" w:color="auto"/>
                        <w:bottom w:val="none" w:sz="0" w:space="0" w:color="auto"/>
                        <w:right w:val="none" w:sz="0" w:space="0" w:color="auto"/>
                      </w:divBdr>
                    </w:div>
                    <w:div w:id="1708525825">
                      <w:marLeft w:val="0"/>
                      <w:marRight w:val="0"/>
                      <w:marTop w:val="0"/>
                      <w:marBottom w:val="0"/>
                      <w:divBdr>
                        <w:top w:val="none" w:sz="0" w:space="0" w:color="auto"/>
                        <w:left w:val="none" w:sz="0" w:space="0" w:color="auto"/>
                        <w:bottom w:val="none" w:sz="0" w:space="0" w:color="auto"/>
                        <w:right w:val="none" w:sz="0" w:space="0" w:color="auto"/>
                      </w:divBdr>
                    </w:div>
                    <w:div w:id="127862573">
                      <w:marLeft w:val="0"/>
                      <w:marRight w:val="0"/>
                      <w:marTop w:val="0"/>
                      <w:marBottom w:val="0"/>
                      <w:divBdr>
                        <w:top w:val="none" w:sz="0" w:space="0" w:color="auto"/>
                        <w:left w:val="none" w:sz="0" w:space="0" w:color="auto"/>
                        <w:bottom w:val="none" w:sz="0" w:space="0" w:color="auto"/>
                        <w:right w:val="none" w:sz="0" w:space="0" w:color="auto"/>
                      </w:divBdr>
                    </w:div>
                    <w:div w:id="1719163379">
                      <w:marLeft w:val="0"/>
                      <w:marRight w:val="0"/>
                      <w:marTop w:val="0"/>
                      <w:marBottom w:val="0"/>
                      <w:divBdr>
                        <w:top w:val="none" w:sz="0" w:space="0" w:color="auto"/>
                        <w:left w:val="none" w:sz="0" w:space="0" w:color="auto"/>
                        <w:bottom w:val="none" w:sz="0" w:space="0" w:color="auto"/>
                        <w:right w:val="none" w:sz="0" w:space="0" w:color="auto"/>
                      </w:divBdr>
                    </w:div>
                    <w:div w:id="1877153631">
                      <w:marLeft w:val="0"/>
                      <w:marRight w:val="0"/>
                      <w:marTop w:val="0"/>
                      <w:marBottom w:val="0"/>
                      <w:divBdr>
                        <w:top w:val="none" w:sz="0" w:space="0" w:color="auto"/>
                        <w:left w:val="none" w:sz="0" w:space="0" w:color="auto"/>
                        <w:bottom w:val="none" w:sz="0" w:space="0" w:color="auto"/>
                        <w:right w:val="none" w:sz="0" w:space="0" w:color="auto"/>
                      </w:divBdr>
                    </w:div>
                    <w:div w:id="887912759">
                      <w:marLeft w:val="0"/>
                      <w:marRight w:val="0"/>
                      <w:marTop w:val="0"/>
                      <w:marBottom w:val="0"/>
                      <w:divBdr>
                        <w:top w:val="none" w:sz="0" w:space="0" w:color="auto"/>
                        <w:left w:val="none" w:sz="0" w:space="0" w:color="auto"/>
                        <w:bottom w:val="none" w:sz="0" w:space="0" w:color="auto"/>
                        <w:right w:val="none" w:sz="0" w:space="0" w:color="auto"/>
                      </w:divBdr>
                    </w:div>
                    <w:div w:id="1523130528">
                      <w:marLeft w:val="0"/>
                      <w:marRight w:val="0"/>
                      <w:marTop w:val="0"/>
                      <w:marBottom w:val="0"/>
                      <w:divBdr>
                        <w:top w:val="none" w:sz="0" w:space="0" w:color="auto"/>
                        <w:left w:val="none" w:sz="0" w:space="0" w:color="auto"/>
                        <w:bottom w:val="none" w:sz="0" w:space="0" w:color="auto"/>
                        <w:right w:val="none" w:sz="0" w:space="0" w:color="auto"/>
                      </w:divBdr>
                    </w:div>
                    <w:div w:id="971903446">
                      <w:marLeft w:val="0"/>
                      <w:marRight w:val="0"/>
                      <w:marTop w:val="0"/>
                      <w:marBottom w:val="0"/>
                      <w:divBdr>
                        <w:top w:val="none" w:sz="0" w:space="0" w:color="auto"/>
                        <w:left w:val="none" w:sz="0" w:space="0" w:color="auto"/>
                        <w:bottom w:val="none" w:sz="0" w:space="0" w:color="auto"/>
                        <w:right w:val="none" w:sz="0" w:space="0" w:color="auto"/>
                      </w:divBdr>
                    </w:div>
                    <w:div w:id="1121729542">
                      <w:marLeft w:val="0"/>
                      <w:marRight w:val="0"/>
                      <w:marTop w:val="0"/>
                      <w:marBottom w:val="0"/>
                      <w:divBdr>
                        <w:top w:val="none" w:sz="0" w:space="0" w:color="auto"/>
                        <w:left w:val="none" w:sz="0" w:space="0" w:color="auto"/>
                        <w:bottom w:val="none" w:sz="0" w:space="0" w:color="auto"/>
                        <w:right w:val="none" w:sz="0" w:space="0" w:color="auto"/>
                      </w:divBdr>
                    </w:div>
                    <w:div w:id="1256748355">
                      <w:marLeft w:val="0"/>
                      <w:marRight w:val="0"/>
                      <w:marTop w:val="0"/>
                      <w:marBottom w:val="0"/>
                      <w:divBdr>
                        <w:top w:val="none" w:sz="0" w:space="0" w:color="auto"/>
                        <w:left w:val="none" w:sz="0" w:space="0" w:color="auto"/>
                        <w:bottom w:val="none" w:sz="0" w:space="0" w:color="auto"/>
                        <w:right w:val="none" w:sz="0" w:space="0" w:color="auto"/>
                      </w:divBdr>
                    </w:div>
                    <w:div w:id="720445945">
                      <w:marLeft w:val="0"/>
                      <w:marRight w:val="0"/>
                      <w:marTop w:val="0"/>
                      <w:marBottom w:val="0"/>
                      <w:divBdr>
                        <w:top w:val="none" w:sz="0" w:space="0" w:color="auto"/>
                        <w:left w:val="none" w:sz="0" w:space="0" w:color="auto"/>
                        <w:bottom w:val="none" w:sz="0" w:space="0" w:color="auto"/>
                        <w:right w:val="none" w:sz="0" w:space="0" w:color="auto"/>
                      </w:divBdr>
                    </w:div>
                    <w:div w:id="1549029761">
                      <w:marLeft w:val="0"/>
                      <w:marRight w:val="0"/>
                      <w:marTop w:val="0"/>
                      <w:marBottom w:val="0"/>
                      <w:divBdr>
                        <w:top w:val="none" w:sz="0" w:space="0" w:color="auto"/>
                        <w:left w:val="none" w:sz="0" w:space="0" w:color="auto"/>
                        <w:bottom w:val="none" w:sz="0" w:space="0" w:color="auto"/>
                        <w:right w:val="none" w:sz="0" w:space="0" w:color="auto"/>
                      </w:divBdr>
                    </w:div>
                    <w:div w:id="1593927752">
                      <w:marLeft w:val="0"/>
                      <w:marRight w:val="0"/>
                      <w:marTop w:val="0"/>
                      <w:marBottom w:val="0"/>
                      <w:divBdr>
                        <w:top w:val="none" w:sz="0" w:space="0" w:color="auto"/>
                        <w:left w:val="none" w:sz="0" w:space="0" w:color="auto"/>
                        <w:bottom w:val="none" w:sz="0" w:space="0" w:color="auto"/>
                        <w:right w:val="none" w:sz="0" w:space="0" w:color="auto"/>
                      </w:divBdr>
                    </w:div>
                    <w:div w:id="1058743661">
                      <w:marLeft w:val="0"/>
                      <w:marRight w:val="0"/>
                      <w:marTop w:val="0"/>
                      <w:marBottom w:val="0"/>
                      <w:divBdr>
                        <w:top w:val="none" w:sz="0" w:space="0" w:color="auto"/>
                        <w:left w:val="none" w:sz="0" w:space="0" w:color="auto"/>
                        <w:bottom w:val="none" w:sz="0" w:space="0" w:color="auto"/>
                        <w:right w:val="none" w:sz="0" w:space="0" w:color="auto"/>
                      </w:divBdr>
                    </w:div>
                    <w:div w:id="1308165888">
                      <w:marLeft w:val="0"/>
                      <w:marRight w:val="0"/>
                      <w:marTop w:val="0"/>
                      <w:marBottom w:val="0"/>
                      <w:divBdr>
                        <w:top w:val="none" w:sz="0" w:space="0" w:color="auto"/>
                        <w:left w:val="none" w:sz="0" w:space="0" w:color="auto"/>
                        <w:bottom w:val="none" w:sz="0" w:space="0" w:color="auto"/>
                        <w:right w:val="none" w:sz="0" w:space="0" w:color="auto"/>
                      </w:divBdr>
                    </w:div>
                    <w:div w:id="171458840">
                      <w:marLeft w:val="0"/>
                      <w:marRight w:val="0"/>
                      <w:marTop w:val="0"/>
                      <w:marBottom w:val="0"/>
                      <w:divBdr>
                        <w:top w:val="none" w:sz="0" w:space="0" w:color="auto"/>
                        <w:left w:val="none" w:sz="0" w:space="0" w:color="auto"/>
                        <w:bottom w:val="none" w:sz="0" w:space="0" w:color="auto"/>
                        <w:right w:val="none" w:sz="0" w:space="0" w:color="auto"/>
                      </w:divBdr>
                    </w:div>
                    <w:div w:id="1373267839">
                      <w:marLeft w:val="0"/>
                      <w:marRight w:val="0"/>
                      <w:marTop w:val="0"/>
                      <w:marBottom w:val="0"/>
                      <w:divBdr>
                        <w:top w:val="none" w:sz="0" w:space="0" w:color="auto"/>
                        <w:left w:val="none" w:sz="0" w:space="0" w:color="auto"/>
                        <w:bottom w:val="none" w:sz="0" w:space="0" w:color="auto"/>
                        <w:right w:val="none" w:sz="0" w:space="0" w:color="auto"/>
                      </w:divBdr>
                    </w:div>
                    <w:div w:id="261454491">
                      <w:marLeft w:val="0"/>
                      <w:marRight w:val="0"/>
                      <w:marTop w:val="0"/>
                      <w:marBottom w:val="0"/>
                      <w:divBdr>
                        <w:top w:val="none" w:sz="0" w:space="0" w:color="auto"/>
                        <w:left w:val="none" w:sz="0" w:space="0" w:color="auto"/>
                        <w:bottom w:val="none" w:sz="0" w:space="0" w:color="auto"/>
                        <w:right w:val="none" w:sz="0" w:space="0" w:color="auto"/>
                      </w:divBdr>
                    </w:div>
                    <w:div w:id="633679809">
                      <w:marLeft w:val="0"/>
                      <w:marRight w:val="0"/>
                      <w:marTop w:val="0"/>
                      <w:marBottom w:val="0"/>
                      <w:divBdr>
                        <w:top w:val="none" w:sz="0" w:space="0" w:color="auto"/>
                        <w:left w:val="none" w:sz="0" w:space="0" w:color="auto"/>
                        <w:bottom w:val="none" w:sz="0" w:space="0" w:color="auto"/>
                        <w:right w:val="none" w:sz="0" w:space="0" w:color="auto"/>
                      </w:divBdr>
                    </w:div>
                    <w:div w:id="511070496">
                      <w:marLeft w:val="0"/>
                      <w:marRight w:val="0"/>
                      <w:marTop w:val="0"/>
                      <w:marBottom w:val="0"/>
                      <w:divBdr>
                        <w:top w:val="none" w:sz="0" w:space="0" w:color="auto"/>
                        <w:left w:val="none" w:sz="0" w:space="0" w:color="auto"/>
                        <w:bottom w:val="none" w:sz="0" w:space="0" w:color="auto"/>
                        <w:right w:val="none" w:sz="0" w:space="0" w:color="auto"/>
                      </w:divBdr>
                    </w:div>
                    <w:div w:id="1177960111">
                      <w:marLeft w:val="0"/>
                      <w:marRight w:val="0"/>
                      <w:marTop w:val="0"/>
                      <w:marBottom w:val="0"/>
                      <w:divBdr>
                        <w:top w:val="none" w:sz="0" w:space="0" w:color="auto"/>
                        <w:left w:val="none" w:sz="0" w:space="0" w:color="auto"/>
                        <w:bottom w:val="none" w:sz="0" w:space="0" w:color="auto"/>
                        <w:right w:val="none" w:sz="0" w:space="0" w:color="auto"/>
                      </w:divBdr>
                    </w:div>
                    <w:div w:id="129089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7428267">
          <w:marLeft w:val="0"/>
          <w:marRight w:val="0"/>
          <w:marTop w:val="240"/>
          <w:marBottom w:val="240"/>
          <w:divBdr>
            <w:top w:val="single" w:sz="6" w:space="0" w:color="auto"/>
            <w:left w:val="single" w:sz="6" w:space="0" w:color="auto"/>
            <w:bottom w:val="single" w:sz="6" w:space="0" w:color="auto"/>
            <w:right w:val="single" w:sz="6" w:space="0" w:color="auto"/>
          </w:divBdr>
          <w:divsChild>
            <w:div w:id="543323388">
              <w:marLeft w:val="0"/>
              <w:marRight w:val="0"/>
              <w:marTop w:val="0"/>
              <w:marBottom w:val="0"/>
              <w:divBdr>
                <w:top w:val="none" w:sz="0" w:space="0" w:color="auto"/>
                <w:left w:val="none" w:sz="0" w:space="0" w:color="auto"/>
                <w:bottom w:val="none" w:sz="0" w:space="0" w:color="auto"/>
                <w:right w:val="none" w:sz="0" w:space="0" w:color="auto"/>
              </w:divBdr>
              <w:divsChild>
                <w:div w:id="1195271366">
                  <w:marLeft w:val="0"/>
                  <w:marRight w:val="0"/>
                  <w:marTop w:val="0"/>
                  <w:marBottom w:val="0"/>
                  <w:divBdr>
                    <w:top w:val="none" w:sz="0" w:space="0" w:color="auto"/>
                    <w:left w:val="none" w:sz="0" w:space="0" w:color="auto"/>
                    <w:bottom w:val="none" w:sz="0" w:space="0" w:color="auto"/>
                    <w:right w:val="none" w:sz="0" w:space="0" w:color="auto"/>
                  </w:divBdr>
                  <w:divsChild>
                    <w:div w:id="953099272">
                      <w:marLeft w:val="0"/>
                      <w:marRight w:val="0"/>
                      <w:marTop w:val="0"/>
                      <w:marBottom w:val="0"/>
                      <w:divBdr>
                        <w:top w:val="none" w:sz="0" w:space="0" w:color="auto"/>
                        <w:left w:val="none" w:sz="0" w:space="0" w:color="auto"/>
                        <w:bottom w:val="none" w:sz="0" w:space="0" w:color="auto"/>
                        <w:right w:val="none" w:sz="0" w:space="0" w:color="auto"/>
                      </w:divBdr>
                    </w:div>
                    <w:div w:id="1349328933">
                      <w:marLeft w:val="0"/>
                      <w:marRight w:val="0"/>
                      <w:marTop w:val="0"/>
                      <w:marBottom w:val="0"/>
                      <w:divBdr>
                        <w:top w:val="none" w:sz="0" w:space="0" w:color="auto"/>
                        <w:left w:val="none" w:sz="0" w:space="0" w:color="auto"/>
                        <w:bottom w:val="none" w:sz="0" w:space="0" w:color="auto"/>
                        <w:right w:val="none" w:sz="0" w:space="0" w:color="auto"/>
                      </w:divBdr>
                    </w:div>
                    <w:div w:id="1158691874">
                      <w:marLeft w:val="0"/>
                      <w:marRight w:val="0"/>
                      <w:marTop w:val="0"/>
                      <w:marBottom w:val="0"/>
                      <w:divBdr>
                        <w:top w:val="none" w:sz="0" w:space="0" w:color="auto"/>
                        <w:left w:val="none" w:sz="0" w:space="0" w:color="auto"/>
                        <w:bottom w:val="none" w:sz="0" w:space="0" w:color="auto"/>
                        <w:right w:val="none" w:sz="0" w:space="0" w:color="auto"/>
                      </w:divBdr>
                    </w:div>
                    <w:div w:id="1928533943">
                      <w:marLeft w:val="0"/>
                      <w:marRight w:val="0"/>
                      <w:marTop w:val="0"/>
                      <w:marBottom w:val="0"/>
                      <w:divBdr>
                        <w:top w:val="none" w:sz="0" w:space="0" w:color="auto"/>
                        <w:left w:val="none" w:sz="0" w:space="0" w:color="auto"/>
                        <w:bottom w:val="none" w:sz="0" w:space="0" w:color="auto"/>
                        <w:right w:val="none" w:sz="0" w:space="0" w:color="auto"/>
                      </w:divBdr>
                    </w:div>
                    <w:div w:id="1182553377">
                      <w:marLeft w:val="0"/>
                      <w:marRight w:val="0"/>
                      <w:marTop w:val="0"/>
                      <w:marBottom w:val="0"/>
                      <w:divBdr>
                        <w:top w:val="none" w:sz="0" w:space="0" w:color="auto"/>
                        <w:left w:val="none" w:sz="0" w:space="0" w:color="auto"/>
                        <w:bottom w:val="none" w:sz="0" w:space="0" w:color="auto"/>
                        <w:right w:val="none" w:sz="0" w:space="0" w:color="auto"/>
                      </w:divBdr>
                    </w:div>
                    <w:div w:id="2028406710">
                      <w:marLeft w:val="0"/>
                      <w:marRight w:val="0"/>
                      <w:marTop w:val="0"/>
                      <w:marBottom w:val="0"/>
                      <w:divBdr>
                        <w:top w:val="none" w:sz="0" w:space="0" w:color="auto"/>
                        <w:left w:val="none" w:sz="0" w:space="0" w:color="auto"/>
                        <w:bottom w:val="none" w:sz="0" w:space="0" w:color="auto"/>
                        <w:right w:val="none" w:sz="0" w:space="0" w:color="auto"/>
                      </w:divBdr>
                    </w:div>
                    <w:div w:id="1433090847">
                      <w:marLeft w:val="0"/>
                      <w:marRight w:val="0"/>
                      <w:marTop w:val="0"/>
                      <w:marBottom w:val="0"/>
                      <w:divBdr>
                        <w:top w:val="none" w:sz="0" w:space="0" w:color="auto"/>
                        <w:left w:val="none" w:sz="0" w:space="0" w:color="auto"/>
                        <w:bottom w:val="none" w:sz="0" w:space="0" w:color="auto"/>
                        <w:right w:val="none" w:sz="0" w:space="0" w:color="auto"/>
                      </w:divBdr>
                    </w:div>
                    <w:div w:id="1032539835">
                      <w:marLeft w:val="0"/>
                      <w:marRight w:val="0"/>
                      <w:marTop w:val="0"/>
                      <w:marBottom w:val="0"/>
                      <w:divBdr>
                        <w:top w:val="none" w:sz="0" w:space="0" w:color="auto"/>
                        <w:left w:val="none" w:sz="0" w:space="0" w:color="auto"/>
                        <w:bottom w:val="none" w:sz="0" w:space="0" w:color="auto"/>
                        <w:right w:val="none" w:sz="0" w:space="0" w:color="auto"/>
                      </w:divBdr>
                    </w:div>
                    <w:div w:id="2076081237">
                      <w:marLeft w:val="0"/>
                      <w:marRight w:val="0"/>
                      <w:marTop w:val="0"/>
                      <w:marBottom w:val="0"/>
                      <w:divBdr>
                        <w:top w:val="none" w:sz="0" w:space="0" w:color="auto"/>
                        <w:left w:val="none" w:sz="0" w:space="0" w:color="auto"/>
                        <w:bottom w:val="none" w:sz="0" w:space="0" w:color="auto"/>
                        <w:right w:val="none" w:sz="0" w:space="0" w:color="auto"/>
                      </w:divBdr>
                    </w:div>
                    <w:div w:id="1853108620">
                      <w:marLeft w:val="0"/>
                      <w:marRight w:val="0"/>
                      <w:marTop w:val="0"/>
                      <w:marBottom w:val="0"/>
                      <w:divBdr>
                        <w:top w:val="none" w:sz="0" w:space="0" w:color="auto"/>
                        <w:left w:val="none" w:sz="0" w:space="0" w:color="auto"/>
                        <w:bottom w:val="none" w:sz="0" w:space="0" w:color="auto"/>
                        <w:right w:val="none" w:sz="0" w:space="0" w:color="auto"/>
                      </w:divBdr>
                    </w:div>
                    <w:div w:id="1644191461">
                      <w:marLeft w:val="0"/>
                      <w:marRight w:val="0"/>
                      <w:marTop w:val="0"/>
                      <w:marBottom w:val="0"/>
                      <w:divBdr>
                        <w:top w:val="none" w:sz="0" w:space="0" w:color="auto"/>
                        <w:left w:val="none" w:sz="0" w:space="0" w:color="auto"/>
                        <w:bottom w:val="none" w:sz="0" w:space="0" w:color="auto"/>
                        <w:right w:val="none" w:sz="0" w:space="0" w:color="auto"/>
                      </w:divBdr>
                    </w:div>
                    <w:div w:id="233470707">
                      <w:marLeft w:val="0"/>
                      <w:marRight w:val="0"/>
                      <w:marTop w:val="0"/>
                      <w:marBottom w:val="0"/>
                      <w:divBdr>
                        <w:top w:val="none" w:sz="0" w:space="0" w:color="auto"/>
                        <w:left w:val="none" w:sz="0" w:space="0" w:color="auto"/>
                        <w:bottom w:val="none" w:sz="0" w:space="0" w:color="auto"/>
                        <w:right w:val="none" w:sz="0" w:space="0" w:color="auto"/>
                      </w:divBdr>
                    </w:div>
                    <w:div w:id="1967539734">
                      <w:marLeft w:val="0"/>
                      <w:marRight w:val="0"/>
                      <w:marTop w:val="0"/>
                      <w:marBottom w:val="0"/>
                      <w:divBdr>
                        <w:top w:val="none" w:sz="0" w:space="0" w:color="auto"/>
                        <w:left w:val="none" w:sz="0" w:space="0" w:color="auto"/>
                        <w:bottom w:val="none" w:sz="0" w:space="0" w:color="auto"/>
                        <w:right w:val="none" w:sz="0" w:space="0" w:color="auto"/>
                      </w:divBdr>
                    </w:div>
                    <w:div w:id="1186213201">
                      <w:marLeft w:val="0"/>
                      <w:marRight w:val="0"/>
                      <w:marTop w:val="0"/>
                      <w:marBottom w:val="0"/>
                      <w:divBdr>
                        <w:top w:val="none" w:sz="0" w:space="0" w:color="auto"/>
                        <w:left w:val="none" w:sz="0" w:space="0" w:color="auto"/>
                        <w:bottom w:val="none" w:sz="0" w:space="0" w:color="auto"/>
                        <w:right w:val="none" w:sz="0" w:space="0" w:color="auto"/>
                      </w:divBdr>
                    </w:div>
                    <w:div w:id="595093373">
                      <w:marLeft w:val="0"/>
                      <w:marRight w:val="0"/>
                      <w:marTop w:val="0"/>
                      <w:marBottom w:val="0"/>
                      <w:divBdr>
                        <w:top w:val="none" w:sz="0" w:space="0" w:color="auto"/>
                        <w:left w:val="none" w:sz="0" w:space="0" w:color="auto"/>
                        <w:bottom w:val="none" w:sz="0" w:space="0" w:color="auto"/>
                        <w:right w:val="none" w:sz="0" w:space="0" w:color="auto"/>
                      </w:divBdr>
                    </w:div>
                    <w:div w:id="1030371625">
                      <w:marLeft w:val="0"/>
                      <w:marRight w:val="0"/>
                      <w:marTop w:val="0"/>
                      <w:marBottom w:val="0"/>
                      <w:divBdr>
                        <w:top w:val="none" w:sz="0" w:space="0" w:color="auto"/>
                        <w:left w:val="none" w:sz="0" w:space="0" w:color="auto"/>
                        <w:bottom w:val="none" w:sz="0" w:space="0" w:color="auto"/>
                        <w:right w:val="none" w:sz="0" w:space="0" w:color="auto"/>
                      </w:divBdr>
                    </w:div>
                    <w:div w:id="1902206886">
                      <w:marLeft w:val="0"/>
                      <w:marRight w:val="0"/>
                      <w:marTop w:val="0"/>
                      <w:marBottom w:val="0"/>
                      <w:divBdr>
                        <w:top w:val="none" w:sz="0" w:space="0" w:color="auto"/>
                        <w:left w:val="none" w:sz="0" w:space="0" w:color="auto"/>
                        <w:bottom w:val="none" w:sz="0" w:space="0" w:color="auto"/>
                        <w:right w:val="none" w:sz="0" w:space="0" w:color="auto"/>
                      </w:divBdr>
                    </w:div>
                    <w:div w:id="4372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946167">
          <w:marLeft w:val="0"/>
          <w:marRight w:val="0"/>
          <w:marTop w:val="240"/>
          <w:marBottom w:val="240"/>
          <w:divBdr>
            <w:top w:val="single" w:sz="6" w:space="0" w:color="auto"/>
            <w:left w:val="single" w:sz="6" w:space="0" w:color="auto"/>
            <w:bottom w:val="single" w:sz="6" w:space="0" w:color="auto"/>
            <w:right w:val="single" w:sz="6" w:space="0" w:color="auto"/>
          </w:divBdr>
          <w:divsChild>
            <w:div w:id="1542593796">
              <w:marLeft w:val="0"/>
              <w:marRight w:val="0"/>
              <w:marTop w:val="0"/>
              <w:marBottom w:val="0"/>
              <w:divBdr>
                <w:top w:val="none" w:sz="0" w:space="0" w:color="auto"/>
                <w:left w:val="none" w:sz="0" w:space="0" w:color="auto"/>
                <w:bottom w:val="none" w:sz="0" w:space="0" w:color="auto"/>
                <w:right w:val="none" w:sz="0" w:space="0" w:color="auto"/>
              </w:divBdr>
              <w:divsChild>
                <w:div w:id="2131120216">
                  <w:marLeft w:val="0"/>
                  <w:marRight w:val="0"/>
                  <w:marTop w:val="0"/>
                  <w:marBottom w:val="0"/>
                  <w:divBdr>
                    <w:top w:val="none" w:sz="0" w:space="0" w:color="auto"/>
                    <w:left w:val="none" w:sz="0" w:space="0" w:color="auto"/>
                    <w:bottom w:val="none" w:sz="0" w:space="0" w:color="auto"/>
                    <w:right w:val="none" w:sz="0" w:space="0" w:color="auto"/>
                  </w:divBdr>
                  <w:divsChild>
                    <w:div w:id="2105495631">
                      <w:marLeft w:val="0"/>
                      <w:marRight w:val="0"/>
                      <w:marTop w:val="0"/>
                      <w:marBottom w:val="0"/>
                      <w:divBdr>
                        <w:top w:val="none" w:sz="0" w:space="0" w:color="auto"/>
                        <w:left w:val="none" w:sz="0" w:space="0" w:color="auto"/>
                        <w:bottom w:val="none" w:sz="0" w:space="0" w:color="auto"/>
                        <w:right w:val="none" w:sz="0" w:space="0" w:color="auto"/>
                      </w:divBdr>
                    </w:div>
                    <w:div w:id="177306356">
                      <w:marLeft w:val="0"/>
                      <w:marRight w:val="0"/>
                      <w:marTop w:val="0"/>
                      <w:marBottom w:val="0"/>
                      <w:divBdr>
                        <w:top w:val="none" w:sz="0" w:space="0" w:color="auto"/>
                        <w:left w:val="none" w:sz="0" w:space="0" w:color="auto"/>
                        <w:bottom w:val="none" w:sz="0" w:space="0" w:color="auto"/>
                        <w:right w:val="none" w:sz="0" w:space="0" w:color="auto"/>
                      </w:divBdr>
                    </w:div>
                    <w:div w:id="538013265">
                      <w:marLeft w:val="0"/>
                      <w:marRight w:val="0"/>
                      <w:marTop w:val="0"/>
                      <w:marBottom w:val="0"/>
                      <w:divBdr>
                        <w:top w:val="none" w:sz="0" w:space="0" w:color="auto"/>
                        <w:left w:val="none" w:sz="0" w:space="0" w:color="auto"/>
                        <w:bottom w:val="none" w:sz="0" w:space="0" w:color="auto"/>
                        <w:right w:val="none" w:sz="0" w:space="0" w:color="auto"/>
                      </w:divBdr>
                    </w:div>
                    <w:div w:id="1424571952">
                      <w:marLeft w:val="0"/>
                      <w:marRight w:val="0"/>
                      <w:marTop w:val="0"/>
                      <w:marBottom w:val="0"/>
                      <w:divBdr>
                        <w:top w:val="none" w:sz="0" w:space="0" w:color="auto"/>
                        <w:left w:val="none" w:sz="0" w:space="0" w:color="auto"/>
                        <w:bottom w:val="none" w:sz="0" w:space="0" w:color="auto"/>
                        <w:right w:val="none" w:sz="0" w:space="0" w:color="auto"/>
                      </w:divBdr>
                    </w:div>
                    <w:div w:id="1504278479">
                      <w:marLeft w:val="0"/>
                      <w:marRight w:val="0"/>
                      <w:marTop w:val="0"/>
                      <w:marBottom w:val="0"/>
                      <w:divBdr>
                        <w:top w:val="none" w:sz="0" w:space="0" w:color="auto"/>
                        <w:left w:val="none" w:sz="0" w:space="0" w:color="auto"/>
                        <w:bottom w:val="none" w:sz="0" w:space="0" w:color="auto"/>
                        <w:right w:val="none" w:sz="0" w:space="0" w:color="auto"/>
                      </w:divBdr>
                    </w:div>
                    <w:div w:id="1501658485">
                      <w:marLeft w:val="0"/>
                      <w:marRight w:val="0"/>
                      <w:marTop w:val="0"/>
                      <w:marBottom w:val="0"/>
                      <w:divBdr>
                        <w:top w:val="none" w:sz="0" w:space="0" w:color="auto"/>
                        <w:left w:val="none" w:sz="0" w:space="0" w:color="auto"/>
                        <w:bottom w:val="none" w:sz="0" w:space="0" w:color="auto"/>
                        <w:right w:val="none" w:sz="0" w:space="0" w:color="auto"/>
                      </w:divBdr>
                    </w:div>
                    <w:div w:id="830871125">
                      <w:marLeft w:val="0"/>
                      <w:marRight w:val="0"/>
                      <w:marTop w:val="0"/>
                      <w:marBottom w:val="0"/>
                      <w:divBdr>
                        <w:top w:val="none" w:sz="0" w:space="0" w:color="auto"/>
                        <w:left w:val="none" w:sz="0" w:space="0" w:color="auto"/>
                        <w:bottom w:val="none" w:sz="0" w:space="0" w:color="auto"/>
                        <w:right w:val="none" w:sz="0" w:space="0" w:color="auto"/>
                      </w:divBdr>
                    </w:div>
                    <w:div w:id="1291665729">
                      <w:marLeft w:val="0"/>
                      <w:marRight w:val="0"/>
                      <w:marTop w:val="0"/>
                      <w:marBottom w:val="0"/>
                      <w:divBdr>
                        <w:top w:val="none" w:sz="0" w:space="0" w:color="auto"/>
                        <w:left w:val="none" w:sz="0" w:space="0" w:color="auto"/>
                        <w:bottom w:val="none" w:sz="0" w:space="0" w:color="auto"/>
                        <w:right w:val="none" w:sz="0" w:space="0" w:color="auto"/>
                      </w:divBdr>
                    </w:div>
                    <w:div w:id="1709064557">
                      <w:marLeft w:val="0"/>
                      <w:marRight w:val="0"/>
                      <w:marTop w:val="0"/>
                      <w:marBottom w:val="0"/>
                      <w:divBdr>
                        <w:top w:val="none" w:sz="0" w:space="0" w:color="auto"/>
                        <w:left w:val="none" w:sz="0" w:space="0" w:color="auto"/>
                        <w:bottom w:val="none" w:sz="0" w:space="0" w:color="auto"/>
                        <w:right w:val="none" w:sz="0" w:space="0" w:color="auto"/>
                      </w:divBdr>
                    </w:div>
                    <w:div w:id="4923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5491310">
          <w:marLeft w:val="0"/>
          <w:marRight w:val="0"/>
          <w:marTop w:val="240"/>
          <w:marBottom w:val="240"/>
          <w:divBdr>
            <w:top w:val="single" w:sz="6" w:space="0" w:color="auto"/>
            <w:left w:val="single" w:sz="6" w:space="0" w:color="auto"/>
            <w:bottom w:val="single" w:sz="6" w:space="0" w:color="auto"/>
            <w:right w:val="single" w:sz="6" w:space="0" w:color="auto"/>
          </w:divBdr>
          <w:divsChild>
            <w:div w:id="1793329368">
              <w:marLeft w:val="0"/>
              <w:marRight w:val="0"/>
              <w:marTop w:val="0"/>
              <w:marBottom w:val="0"/>
              <w:divBdr>
                <w:top w:val="none" w:sz="0" w:space="0" w:color="auto"/>
                <w:left w:val="none" w:sz="0" w:space="0" w:color="auto"/>
                <w:bottom w:val="none" w:sz="0" w:space="0" w:color="auto"/>
                <w:right w:val="none" w:sz="0" w:space="0" w:color="auto"/>
              </w:divBdr>
              <w:divsChild>
                <w:div w:id="747656044">
                  <w:marLeft w:val="0"/>
                  <w:marRight w:val="0"/>
                  <w:marTop w:val="0"/>
                  <w:marBottom w:val="0"/>
                  <w:divBdr>
                    <w:top w:val="none" w:sz="0" w:space="0" w:color="auto"/>
                    <w:left w:val="none" w:sz="0" w:space="0" w:color="auto"/>
                    <w:bottom w:val="none" w:sz="0" w:space="0" w:color="auto"/>
                    <w:right w:val="none" w:sz="0" w:space="0" w:color="auto"/>
                  </w:divBdr>
                  <w:divsChild>
                    <w:div w:id="1325546617">
                      <w:marLeft w:val="0"/>
                      <w:marRight w:val="0"/>
                      <w:marTop w:val="0"/>
                      <w:marBottom w:val="0"/>
                      <w:divBdr>
                        <w:top w:val="none" w:sz="0" w:space="0" w:color="auto"/>
                        <w:left w:val="none" w:sz="0" w:space="0" w:color="auto"/>
                        <w:bottom w:val="none" w:sz="0" w:space="0" w:color="auto"/>
                        <w:right w:val="none" w:sz="0" w:space="0" w:color="auto"/>
                      </w:divBdr>
                    </w:div>
                    <w:div w:id="1989750468">
                      <w:marLeft w:val="0"/>
                      <w:marRight w:val="0"/>
                      <w:marTop w:val="0"/>
                      <w:marBottom w:val="0"/>
                      <w:divBdr>
                        <w:top w:val="none" w:sz="0" w:space="0" w:color="auto"/>
                        <w:left w:val="none" w:sz="0" w:space="0" w:color="auto"/>
                        <w:bottom w:val="none" w:sz="0" w:space="0" w:color="auto"/>
                        <w:right w:val="none" w:sz="0" w:space="0" w:color="auto"/>
                      </w:divBdr>
                    </w:div>
                    <w:div w:id="798884672">
                      <w:marLeft w:val="0"/>
                      <w:marRight w:val="0"/>
                      <w:marTop w:val="0"/>
                      <w:marBottom w:val="0"/>
                      <w:divBdr>
                        <w:top w:val="none" w:sz="0" w:space="0" w:color="auto"/>
                        <w:left w:val="none" w:sz="0" w:space="0" w:color="auto"/>
                        <w:bottom w:val="none" w:sz="0" w:space="0" w:color="auto"/>
                        <w:right w:val="none" w:sz="0" w:space="0" w:color="auto"/>
                      </w:divBdr>
                    </w:div>
                    <w:div w:id="1010569555">
                      <w:marLeft w:val="0"/>
                      <w:marRight w:val="0"/>
                      <w:marTop w:val="0"/>
                      <w:marBottom w:val="0"/>
                      <w:divBdr>
                        <w:top w:val="none" w:sz="0" w:space="0" w:color="auto"/>
                        <w:left w:val="none" w:sz="0" w:space="0" w:color="auto"/>
                        <w:bottom w:val="none" w:sz="0" w:space="0" w:color="auto"/>
                        <w:right w:val="none" w:sz="0" w:space="0" w:color="auto"/>
                      </w:divBdr>
                    </w:div>
                    <w:div w:id="502860435">
                      <w:marLeft w:val="0"/>
                      <w:marRight w:val="0"/>
                      <w:marTop w:val="0"/>
                      <w:marBottom w:val="0"/>
                      <w:divBdr>
                        <w:top w:val="none" w:sz="0" w:space="0" w:color="auto"/>
                        <w:left w:val="none" w:sz="0" w:space="0" w:color="auto"/>
                        <w:bottom w:val="none" w:sz="0" w:space="0" w:color="auto"/>
                        <w:right w:val="none" w:sz="0" w:space="0" w:color="auto"/>
                      </w:divBdr>
                    </w:div>
                    <w:div w:id="700320019">
                      <w:marLeft w:val="0"/>
                      <w:marRight w:val="0"/>
                      <w:marTop w:val="0"/>
                      <w:marBottom w:val="0"/>
                      <w:divBdr>
                        <w:top w:val="none" w:sz="0" w:space="0" w:color="auto"/>
                        <w:left w:val="none" w:sz="0" w:space="0" w:color="auto"/>
                        <w:bottom w:val="none" w:sz="0" w:space="0" w:color="auto"/>
                        <w:right w:val="none" w:sz="0" w:space="0" w:color="auto"/>
                      </w:divBdr>
                    </w:div>
                    <w:div w:id="713507255">
                      <w:marLeft w:val="0"/>
                      <w:marRight w:val="0"/>
                      <w:marTop w:val="0"/>
                      <w:marBottom w:val="0"/>
                      <w:divBdr>
                        <w:top w:val="none" w:sz="0" w:space="0" w:color="auto"/>
                        <w:left w:val="none" w:sz="0" w:space="0" w:color="auto"/>
                        <w:bottom w:val="none" w:sz="0" w:space="0" w:color="auto"/>
                        <w:right w:val="none" w:sz="0" w:space="0" w:color="auto"/>
                      </w:divBdr>
                    </w:div>
                    <w:div w:id="591008783">
                      <w:marLeft w:val="0"/>
                      <w:marRight w:val="0"/>
                      <w:marTop w:val="0"/>
                      <w:marBottom w:val="0"/>
                      <w:divBdr>
                        <w:top w:val="none" w:sz="0" w:space="0" w:color="auto"/>
                        <w:left w:val="none" w:sz="0" w:space="0" w:color="auto"/>
                        <w:bottom w:val="none" w:sz="0" w:space="0" w:color="auto"/>
                        <w:right w:val="none" w:sz="0" w:space="0" w:color="auto"/>
                      </w:divBdr>
                    </w:div>
                    <w:div w:id="2242006">
                      <w:marLeft w:val="0"/>
                      <w:marRight w:val="0"/>
                      <w:marTop w:val="0"/>
                      <w:marBottom w:val="0"/>
                      <w:divBdr>
                        <w:top w:val="none" w:sz="0" w:space="0" w:color="auto"/>
                        <w:left w:val="none" w:sz="0" w:space="0" w:color="auto"/>
                        <w:bottom w:val="none" w:sz="0" w:space="0" w:color="auto"/>
                        <w:right w:val="none" w:sz="0" w:space="0" w:color="auto"/>
                      </w:divBdr>
                    </w:div>
                    <w:div w:id="185225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780115">
          <w:marLeft w:val="0"/>
          <w:marRight w:val="0"/>
          <w:marTop w:val="240"/>
          <w:marBottom w:val="240"/>
          <w:divBdr>
            <w:top w:val="single" w:sz="6" w:space="0" w:color="auto"/>
            <w:left w:val="single" w:sz="6" w:space="0" w:color="auto"/>
            <w:bottom w:val="single" w:sz="6" w:space="0" w:color="auto"/>
            <w:right w:val="single" w:sz="6" w:space="0" w:color="auto"/>
          </w:divBdr>
          <w:divsChild>
            <w:div w:id="1306542867">
              <w:marLeft w:val="0"/>
              <w:marRight w:val="0"/>
              <w:marTop w:val="0"/>
              <w:marBottom w:val="0"/>
              <w:divBdr>
                <w:top w:val="none" w:sz="0" w:space="0" w:color="auto"/>
                <w:left w:val="none" w:sz="0" w:space="0" w:color="auto"/>
                <w:bottom w:val="none" w:sz="0" w:space="0" w:color="auto"/>
                <w:right w:val="none" w:sz="0" w:space="0" w:color="auto"/>
              </w:divBdr>
              <w:divsChild>
                <w:div w:id="72286537">
                  <w:marLeft w:val="0"/>
                  <w:marRight w:val="0"/>
                  <w:marTop w:val="0"/>
                  <w:marBottom w:val="0"/>
                  <w:divBdr>
                    <w:top w:val="none" w:sz="0" w:space="0" w:color="auto"/>
                    <w:left w:val="none" w:sz="0" w:space="0" w:color="auto"/>
                    <w:bottom w:val="none" w:sz="0" w:space="0" w:color="auto"/>
                    <w:right w:val="none" w:sz="0" w:space="0" w:color="auto"/>
                  </w:divBdr>
                  <w:divsChild>
                    <w:div w:id="889802033">
                      <w:marLeft w:val="0"/>
                      <w:marRight w:val="0"/>
                      <w:marTop w:val="0"/>
                      <w:marBottom w:val="0"/>
                      <w:divBdr>
                        <w:top w:val="none" w:sz="0" w:space="0" w:color="auto"/>
                        <w:left w:val="none" w:sz="0" w:space="0" w:color="auto"/>
                        <w:bottom w:val="none" w:sz="0" w:space="0" w:color="auto"/>
                        <w:right w:val="none" w:sz="0" w:space="0" w:color="auto"/>
                      </w:divBdr>
                    </w:div>
                    <w:div w:id="1797135849">
                      <w:marLeft w:val="0"/>
                      <w:marRight w:val="0"/>
                      <w:marTop w:val="0"/>
                      <w:marBottom w:val="0"/>
                      <w:divBdr>
                        <w:top w:val="none" w:sz="0" w:space="0" w:color="auto"/>
                        <w:left w:val="none" w:sz="0" w:space="0" w:color="auto"/>
                        <w:bottom w:val="none" w:sz="0" w:space="0" w:color="auto"/>
                        <w:right w:val="none" w:sz="0" w:space="0" w:color="auto"/>
                      </w:divBdr>
                    </w:div>
                    <w:div w:id="2031687118">
                      <w:marLeft w:val="0"/>
                      <w:marRight w:val="0"/>
                      <w:marTop w:val="0"/>
                      <w:marBottom w:val="0"/>
                      <w:divBdr>
                        <w:top w:val="none" w:sz="0" w:space="0" w:color="auto"/>
                        <w:left w:val="none" w:sz="0" w:space="0" w:color="auto"/>
                        <w:bottom w:val="none" w:sz="0" w:space="0" w:color="auto"/>
                        <w:right w:val="none" w:sz="0" w:space="0" w:color="auto"/>
                      </w:divBdr>
                    </w:div>
                    <w:div w:id="426199446">
                      <w:marLeft w:val="0"/>
                      <w:marRight w:val="0"/>
                      <w:marTop w:val="0"/>
                      <w:marBottom w:val="0"/>
                      <w:divBdr>
                        <w:top w:val="none" w:sz="0" w:space="0" w:color="auto"/>
                        <w:left w:val="none" w:sz="0" w:space="0" w:color="auto"/>
                        <w:bottom w:val="none" w:sz="0" w:space="0" w:color="auto"/>
                        <w:right w:val="none" w:sz="0" w:space="0" w:color="auto"/>
                      </w:divBdr>
                    </w:div>
                    <w:div w:id="185482458">
                      <w:marLeft w:val="0"/>
                      <w:marRight w:val="0"/>
                      <w:marTop w:val="0"/>
                      <w:marBottom w:val="0"/>
                      <w:divBdr>
                        <w:top w:val="none" w:sz="0" w:space="0" w:color="auto"/>
                        <w:left w:val="none" w:sz="0" w:space="0" w:color="auto"/>
                        <w:bottom w:val="none" w:sz="0" w:space="0" w:color="auto"/>
                        <w:right w:val="none" w:sz="0" w:space="0" w:color="auto"/>
                      </w:divBdr>
                    </w:div>
                    <w:div w:id="2130004512">
                      <w:marLeft w:val="0"/>
                      <w:marRight w:val="0"/>
                      <w:marTop w:val="0"/>
                      <w:marBottom w:val="0"/>
                      <w:divBdr>
                        <w:top w:val="none" w:sz="0" w:space="0" w:color="auto"/>
                        <w:left w:val="none" w:sz="0" w:space="0" w:color="auto"/>
                        <w:bottom w:val="none" w:sz="0" w:space="0" w:color="auto"/>
                        <w:right w:val="none" w:sz="0" w:space="0" w:color="auto"/>
                      </w:divBdr>
                    </w:div>
                    <w:div w:id="1106658482">
                      <w:marLeft w:val="0"/>
                      <w:marRight w:val="0"/>
                      <w:marTop w:val="0"/>
                      <w:marBottom w:val="0"/>
                      <w:divBdr>
                        <w:top w:val="none" w:sz="0" w:space="0" w:color="auto"/>
                        <w:left w:val="none" w:sz="0" w:space="0" w:color="auto"/>
                        <w:bottom w:val="none" w:sz="0" w:space="0" w:color="auto"/>
                        <w:right w:val="none" w:sz="0" w:space="0" w:color="auto"/>
                      </w:divBdr>
                    </w:div>
                    <w:div w:id="231699506">
                      <w:marLeft w:val="0"/>
                      <w:marRight w:val="0"/>
                      <w:marTop w:val="0"/>
                      <w:marBottom w:val="0"/>
                      <w:divBdr>
                        <w:top w:val="none" w:sz="0" w:space="0" w:color="auto"/>
                        <w:left w:val="none" w:sz="0" w:space="0" w:color="auto"/>
                        <w:bottom w:val="none" w:sz="0" w:space="0" w:color="auto"/>
                        <w:right w:val="none" w:sz="0" w:space="0" w:color="auto"/>
                      </w:divBdr>
                    </w:div>
                    <w:div w:id="1245921372">
                      <w:marLeft w:val="0"/>
                      <w:marRight w:val="0"/>
                      <w:marTop w:val="0"/>
                      <w:marBottom w:val="0"/>
                      <w:divBdr>
                        <w:top w:val="none" w:sz="0" w:space="0" w:color="auto"/>
                        <w:left w:val="none" w:sz="0" w:space="0" w:color="auto"/>
                        <w:bottom w:val="none" w:sz="0" w:space="0" w:color="auto"/>
                        <w:right w:val="none" w:sz="0" w:space="0" w:color="auto"/>
                      </w:divBdr>
                    </w:div>
                    <w:div w:id="435373883">
                      <w:marLeft w:val="0"/>
                      <w:marRight w:val="0"/>
                      <w:marTop w:val="0"/>
                      <w:marBottom w:val="0"/>
                      <w:divBdr>
                        <w:top w:val="none" w:sz="0" w:space="0" w:color="auto"/>
                        <w:left w:val="none" w:sz="0" w:space="0" w:color="auto"/>
                        <w:bottom w:val="none" w:sz="0" w:space="0" w:color="auto"/>
                        <w:right w:val="none" w:sz="0" w:space="0" w:color="auto"/>
                      </w:divBdr>
                    </w:div>
                    <w:div w:id="1063064254">
                      <w:marLeft w:val="0"/>
                      <w:marRight w:val="0"/>
                      <w:marTop w:val="0"/>
                      <w:marBottom w:val="0"/>
                      <w:divBdr>
                        <w:top w:val="none" w:sz="0" w:space="0" w:color="auto"/>
                        <w:left w:val="none" w:sz="0" w:space="0" w:color="auto"/>
                        <w:bottom w:val="none" w:sz="0" w:space="0" w:color="auto"/>
                        <w:right w:val="none" w:sz="0" w:space="0" w:color="auto"/>
                      </w:divBdr>
                    </w:div>
                    <w:div w:id="58414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736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9</Pages>
  <Words>1568</Words>
  <Characters>8942</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5</cp:revision>
  <cp:lastPrinted>2026-09-04T06:56:00Z</cp:lastPrinted>
  <dcterms:created xsi:type="dcterms:W3CDTF">2026-09-03T12:41:00Z</dcterms:created>
  <dcterms:modified xsi:type="dcterms:W3CDTF">2026-09-04T13:54:00Z</dcterms:modified>
</cp:coreProperties>
</file>