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'Licensor', which expression shall include heirs, legal representatives and assigns) in favour of {{ claimant_names }} (hereinafter called the 'Licensee',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Licence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licence_period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Commencement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licence_start_date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Monthly licence fee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licence_fee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Security deposit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security_deposit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Permitted use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permitted_use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Notice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notice_period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Licensor grants the Licensee leave and licence to use the Schedule Property for {{ permitted_use }} for {{ licence_period }} from {{ licence_start_date }}; no tenancy or lease is created.</w:t>
      </w:r>
    </w:p>
    <w:p>
      <w:pPr>
        <w:spacing w:after="80"/>
        <w:jc w:val="both"/>
      </w:pPr>
      <w:r>
        <w:rPr>
          <w:b w:val="0"/>
          <w:i w:val="0"/>
        </w:rPr>
        <w:t>2. The Licensee shall pay a licence fee of Rs. {{ licence_fee }} per month and a refundable deposit of Rs. {{ security_deposit }}.</w:t>
      </w:r>
    </w:p>
    <w:p>
      <w:pPr>
        <w:spacing w:after="80"/>
        <w:jc w:val="both"/>
      </w:pPr>
      <w:r>
        <w:rPr>
          <w:b w:val="0"/>
          <w:i w:val="0"/>
        </w:rPr>
        <w:t>3. The licence is revocable by either party with {{ notice_period }} notice.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