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'Principal', which expression shall include heirs, legal representatives and assigns) in favour of {{ claimant_names }} (hereinafter called the 'Attorney',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Principal is unable to personally attend to his affairs and desires to appoint the Attorney;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Relationship of attorney to principal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attorney_relationship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Irrevocable / coupled with interest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is_irrevocable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Validity /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validity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Consideration received for POA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consideration_received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Powers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81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Power granted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pw in powers %}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pw.powers }}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Principal appoints the Attorney as his lawful attorney to do the acts listed in the Powers table above on his behalf.</w:t>
      </w:r>
    </w:p>
    <w:p>
      <w:pPr>
        <w:spacing w:after="80"/>
        <w:jc w:val="both"/>
      </w:pPr>
      <w:r>
        <w:rPr>
          <w:b w:val="0"/>
          <w:i w:val="0"/>
        </w:rPr>
        <w:t>2. This power of attorney is irrevocable: {{ is_irrevocable }}; validity: {{ validity }}.</w:t>
      </w:r>
    </w:p>
    <w:p>
      <w:pPr>
        <w:spacing w:after="80"/>
        <w:jc w:val="both"/>
      </w:pPr>
      <w:r>
        <w:rPr>
          <w:b w:val="0"/>
          <w:i w:val="0"/>
        </w:rPr>
        <w:t>3. The Principal agrees to ratify all acts lawfully done by the Attorney under this power.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