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if schedules %}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else %}</w:t>
      </w:r>
    </w:p>
    <w:p>
      <w:pPr>
        <w:spacing w:after="80"/>
      </w:pPr>
      <w:r>
        <w:rPr>
          <w:b w:val="0"/>
          <w:i/>
        </w:rPr>
        <w:t>No property schedule is annexed to this instrument.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'Principal', which expression shall include heirs, legal representatives and assigns) in favour of {{ claimant_names }} (hereinafter called the 'Attorney',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Purpose of POA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poa_purpose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Specific act / transaction authorised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specific_act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Relationship of attorney to principal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attorney_relationship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Court / proceeding reference (for litigation POA)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court_case_reference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Consideration received for POA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consideration_received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Validity /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validity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Principal authorises the Attorney for the following specific purpose only: {{ specific_act }} ({{ poa_purpose }}).</w:t>
      </w:r>
    </w:p>
    <w:p>
      <w:pPr>
        <w:spacing w:after="80"/>
        <w:jc w:val="both"/>
      </w:pPr>
      <w:r>
        <w:rPr>
          <w:b w:val="0"/>
          <w:i w:val="0"/>
        </w:rPr>
        <w:t>2. The Attorney shall not do any act beyond the purpose stated; validity: {{ validity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