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'Consignor / Company', which expression shall include heirs, legal representatives and assigns) in favour of {{ claimant_names }} (hereinafter called the 'Carrier / Transporter',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Goods / persons to be carried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goods_description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route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Freight rate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freight_rate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Risk basis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risk_basis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Carrier shall transport {{ goods_description }} on the route {{ route }} at {{ freight_rate }} at {{ risk_basis }} for {{ term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