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/>
          <w:i w:val="0"/>
        </w:rPr>
        <w:t>Schedule of Movable Property / Subject Matter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Identification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 (Rs.)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it in items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it.identification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it.quantity }}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it.value }}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'Assignor', which expression shall include heirs, legal representatives and assigns) in favour of {{ claimant_names }} (hereinafter called the 'Assignee',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Registration / application no.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ip_registration_no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Class / description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ip_class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Territory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territory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Royalty (if any)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royalty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Assignor assigns all rights in {{ instrument_subtype }} No. {{ ip_registration_no }} ({{ ip_class }}) for {{ territory }} to the Assignee; royalty: {{ royalty }}.</w:t>
      </w:r>
    </w:p>
    <w:p>
      <w:pPr>
        <w:spacing w:after="80"/>
        <w:jc w:val="both"/>
      </w:pPr>
      <w:r>
        <w:rPr>
          <w:b w:val="0"/>
          <w:i w:val="0"/>
        </w:rPr>
        <w:t>2. The Assignor shall sign all documents required for recordal with the Registrar.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+ 2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