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'Licensor / Author', which expression shall include heirs, legal representatives and assigns) in favour of {{ claimant_names }} (hereinafter called the 'Licensee / Publisher',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Licensed IP / work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licensed_ip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/ licence fee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royalty_rate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Exclusive licence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exclusive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Licensor grants the Licensee a licence (exclusive: {{ exclusive }}) to use {{ licensed_ip }} in {{ territory }} for {{ term }} against a royalty of {{ royalty_rate }}.</w:t>
      </w:r>
    </w:p>
    <w:p>
      <w:pPr>
        <w:spacing w:after="80"/>
        <w:jc w:val="both"/>
      </w:pPr>
      <w:r>
        <w:rPr>
          <w:b w:val="0"/>
          <w:i w:val="0"/>
        </w:rPr>
        <w:t>2. The Licensee shall maintain quality standards and shall not challenge the Licensor's ownership.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