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'First Party', which expression shall include heirs, legal representatives and assigns) in favour of {{ claimant_names }} (hereinafter called the 'Second Party',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Case / FIR reference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case_reference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Settlement terms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settlement_terms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Settlement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settlement_amount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{{ case_reference }} the parties have settled all disputes on the terms: {{ settlement_terms }}.</w:t>
      </w:r>
    </w:p>
    <w:p>
      <w:pPr>
        <w:spacing w:after="80"/>
        <w:jc w:val="both"/>
      </w:pPr>
      <w:r>
        <w:rPr>
          <w:b w:val="0"/>
          <w:i w:val="0"/>
        </w:rPr>
        <w:t>2. The parties shall file this compromise before the court / authority and no further claim shall survive.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