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'Husband', which expression shall include heirs, legal representatives and assigns) in favour of {{ claimant_names }} (hereinafter called the 'Wife',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marriage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marriage_date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Place of marriage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marriage_place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Maintenance / alimony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maintenance_amount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Mode (lump sum / monthly)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maintenance_mode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Custody of children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child_custody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parties, married on {{ marriage_date }} at {{ marriage_place }}, have agreed to live separately.</w:t>
      </w:r>
    </w:p>
    <w:p>
      <w:pPr>
        <w:spacing w:after="80"/>
        <w:jc w:val="both"/>
      </w:pPr>
      <w:r>
        <w:rPr>
          <w:b w:val="0"/>
          <w:i w:val="0"/>
        </w:rPr>
        <w:t>2. The Husband shall pay maintenance of Rs. {{ maintenance_amount }} ({{ maintenance_mode }}); custody: {{ child_custody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