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/>
          <w:i w:val="0"/>
        </w:rPr>
        <w:t>Schedule of Movable Property / Subject Matter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73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368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Identification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 (Rs.)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it in items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it.description }}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it.identification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it.quantity }}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it.value }}</w:t>
            </w:r>
          </w:p>
        </w:tc>
      </w:tr>
      <w:tr>
        <w:tc>
          <w:tcPr>
            <w:tcW w:type="dxa" w:w="73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368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'Owner / Master / Shipper', which expression shall include heirs, legal representatives and assigns) in favour of {{ claimant_names }} (hereinafter called the 'Charterer / Lender / Consignee',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Vessel name &amp; registry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vessel_name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Voyage / period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voyage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Freight / loan / insured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freight_or_amount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Goods / cargo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goods_description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This {{ instrument_subtype }} relates to vessel {{ vessel_name }} for the voyage / period {{ voyage }} for Rs. {{ freight_or_amount }}; cargo: {{ goods_description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