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'Land Owner', which expression shall include heirs, legal representatives and assigns) in favour of {{ claimant_names }} (hereinafter called the 'Developer',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Land Owner is the absolute owner of the Schedule Property and the Developer is engaged in the business of construction and development of real estate;</w:t>
      </w:r>
    </w:p>
    <w:p>
      <w:pPr>
        <w:spacing w:after="80"/>
        <w:jc w:val="both"/>
      </w:pPr>
      <w:r>
        <w:rPr>
          <w:b w:val="0"/>
          <w:i w:val="0"/>
        </w:rPr>
        <w:t>AND WHEREAS the parties have agreed to jointly develop the Schedule Property into a project known as '{{ project_name }}' on the terms below;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Proposed project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project_name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Land owner share of built-up area (%)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owner_share_percent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Developer share of built-up area (%)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developer_share_percent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Refundable / non-refundable deposit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refundable_deposit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Period to obtain plan sanction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plan_sanction_period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Period to complete construction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completion_period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of land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market_value_land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Estimated cost of construction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estimated_cost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GPA for development executed (Art 41(ea))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gpa_executed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Land Owner grants the Developer the right to develop the Schedule Property; the built-up area shall be shared {{ owner_share_percent }}% to the Land Owner and {{ developer_share_percent }}% to the Developer.</w:t>
      </w:r>
    </w:p>
    <w:p>
      <w:pPr>
        <w:spacing w:after="80"/>
        <w:jc w:val="both"/>
      </w:pPr>
      <w:r>
        <w:rPr>
          <w:b w:val="0"/>
          <w:i w:val="0"/>
        </w:rPr>
        <w:t>2. The Developer has paid a deposit of Rs. {{ refundable_deposit }} to the Land Owner.</w:t>
      </w:r>
    </w:p>
    <w:p>
      <w:pPr>
        <w:spacing w:after="80"/>
        <w:jc w:val="both"/>
      </w:pPr>
      <w:r>
        <w:rPr>
          <w:b w:val="0"/>
          <w:i w:val="0"/>
        </w:rPr>
        <w:t>3. The Developer shall obtain plan sanction within {{ plan_sanction_period }} and complete construction within {{ completion_period }} thereafter, at its own cost (estimated Rs. {{ estimated_cost }}).</w:t>
      </w:r>
    </w:p>
    <w:p>
      <w:pPr>
        <w:spacing w:after="80"/>
        <w:jc w:val="both"/>
      </w:pPr>
      <w:r>
        <w:rPr>
          <w:b w:val="0"/>
          <w:i w:val="0"/>
        </w:rPr>
        <w:t>4. A General Power of Attorney for development has been executed: {{ gpa_executed }}.</w:t>
      </w:r>
    </w:p>
    <w:p>
      <w:pPr>
        <w:spacing w:after="80"/>
        <w:jc w:val="both"/>
      </w:pPr>
      <w:r>
        <w:rPr>
          <w:b w:val="0"/>
          <w:i w:val="0"/>
        </w:rPr>
        <w:t>5. The parties shall execute a sharing agreement allocating specific units before launch of sales.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+ 5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