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'Releasor', which expression shall include heirs, legal representatives and assigns) in favour of {{ claimant_names }} (hereinafter called the 'Releasee',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Releasor is entitled to {{ share_released }} in the Schedule Property by {{ source_of_right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releasee to releasor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Share / right released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share_released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How the releasor got the right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source_of_right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Releasor hereby releases and relinquishes all right, title and interest ({{ share_released }}) in the Schedule Property in favour of the Releasee.</w:t>
      </w:r>
    </w:p>
    <w:p>
      <w:pPr>
        <w:spacing w:after="80"/>
        <w:jc w:val="both"/>
      </w:pPr>
      <w:r>
        <w:rPr>
          <w:b w:val="0"/>
          <w:i w:val="0"/>
        </w:rPr>
        <w:t>2. Henceforth the Releasee shall be the absolute owner and the Releasor or his heirs shall have no claim.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