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'Settlor', which expression shall include heirs, legal representatives and assigns) in favour of {{ claimant_names }} (hereinafter called the 'Settlee / Beneficiary',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parties are members of the same family and, to avoid disputes and maintain harmony, have agreed to settle the properties in the Schedule as set out below;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settlee to settlor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Name of deceased (for settlement among heirs)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deceased_name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death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date_of_death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Allocation / terms of settlement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settlement_terms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Money payable by one party to another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money_payable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Settlor settles the Schedule Property on the Settlee(s) as follows: {{ settlement_terms }}.</w:t>
      </w:r>
    </w:p>
    <w:p>
      <w:pPr>
        <w:spacing w:after="80"/>
        <w:jc w:val="both"/>
      </w:pPr>
      <w:r>
        <w:rPr>
          <w:b w:val="0"/>
          <w:i w:val="0"/>
        </w:rPr>
        <w:t>2. Each party shall hold and enjoy the property allotted absolutely; money payable for equalisation: Rs. {{ money_payable }}.</w:t>
      </w:r>
    </w:p>
    <w:p>
      <w:pPr>
        <w:spacing w:after="80"/>
        <w:jc w:val="both"/>
      </w:pPr>
      <w:r>
        <w:rPr>
          <w:b w:val="0"/>
          <w:i w:val="0"/>
        </w:rPr>
        <w:t>3. The parties shall not raise any claim against each other in respect of the settled properties.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