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'Mortgagee', which expression shall include heirs, legal representatives and assigns) in favour of {{ claimant_names }} (hereinafter called the 'Mortgagor',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by mortgage deed {{ mortgage_deed_reference }} the Mortgagor mortgaged the Schedule Property to the Mortgagee;</w:t>
      </w:r>
    </w:p>
    <w:p>
      <w:pPr>
        <w:spacing w:after="80"/>
        <w:jc w:val="both"/>
      </w:pPr>
      <w:r>
        <w:rPr>
          <w:b w:val="0"/>
          <w:i w:val="0"/>
        </w:rPr>
        <w:t>AND WHEREAS the Mortgagor repaid Rs. {{ amount_repaid }} in full on {{ repayment_date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Original mortgage deed (doc no., date, SRO)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mortgage_deed_reference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repaid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amount_repaid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full repayment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repayment_date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Mortgagee hereby reconveys and releases the Schedule Property from the said mortgage and returns all title deeds to the Mortgagor.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+ 1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