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80"/>
      </w:pPr>
      <w:r>
        <w:rPr>
          <w:b/>
          <w:i w:val="0"/>
        </w:rPr>
        <w:t>Schedule of Movable Property / Subject Matter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73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Identification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Value (Rs.)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it in items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it.description }}</w:t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it.identification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it.quantity }}</w:t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it.value }}</w:t>
            </w:r>
          </w:p>
        </w:tc>
      </w:tr>
      <w:tr>
        <w:tc>
          <w:tcPr>
            <w:tcW w:type="dxa" w:w="73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'Borrower / Hypothecator', which expression shall include heirs, legal representatives and assigns) in favour of {{ claimant_names }} (hereinafter called the 'Lender / Bank',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Credit facility amount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facility_amount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Interest rate (% p.a.)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interest_rate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Margin (%)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margin_percent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Insurance of hypothecated assets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insurance_required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Borrower hypothecates the movable assets in the Schedule to the Lender as security for the facility of Rs. {{ facility_amount }} with interest at {{ interest_rate }}% p.a.</w:t>
      </w:r>
    </w:p>
    <w:p>
      <w:pPr>
        <w:spacing w:after="80"/>
        <w:jc w:val="both"/>
      </w:pPr>
      <w:r>
        <w:rPr>
          <w:b w:val="0"/>
          <w:i w:val="0"/>
        </w:rPr>
        <w:t>2. The Borrower shall maintain a margin of {{ margin_percent }}% and keep the assets insured ({{ insurance_required }}) with the Lender's interest noted.</w:t>
      </w:r>
    </w:p>
    <w:p>
      <w:pPr>
        <w:spacing w:after="80"/>
        <w:jc w:val="both"/>
      </w:pPr>
      <w:r>
        <w:rPr>
          <w:b w:val="0"/>
          <w:i w:val="0"/>
        </w:rPr>
        <w:t>3. On default the Lender may take possession of and sell the hypothecated assets.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