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'Settlor / Author', which expression shall include heirs, legal representatives and assigns) in favour of {{ claimant_names }} (hereinafter called the 'Trustee',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Settlor is desirous of creating a trust named '{{ trust_name }}' for the objects set out herein and has set apart a corpus of Rs. {{ corpus_amount }};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Name of trust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trust_name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Registered office of trust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trust_office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Initial corpus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corpus_amount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Minimum / maximum number of trustees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min_trustees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Appointment / succession of trustees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trustee_succession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Beneficiaries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beneficiaries_desc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Trust is irrevocable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irrevocable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Objects</w:t>
      </w:r>
    </w:p>
    <w:p>
      <w:pPr>
        <w:spacing w:after="0"/>
      </w:pPr>
      <w:r>
        <w:rPr>
          <w:b w:val="0"/>
          <w:i w:val="0"/>
        </w:rPr>
        <w:t>{%p for ob in objects %}</w:t>
      </w:r>
    </w:p>
    <w:p>
      <w:pPr>
        <w:spacing w:after="80"/>
        <w:jc w:val="both"/>
      </w:pPr>
      <w:r>
        <w:rPr>
          <w:b w:val="0"/>
          <w:i w:val="0"/>
        </w:rPr>
        <w:t>{{ loop.index }}. {{ ob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Settlor transfers the corpus and the Schedule property (if any) to the Trustees to hold in trust for {{ beneficiaries_desc }}.</w:t>
      </w:r>
    </w:p>
    <w:p>
      <w:pPr>
        <w:spacing w:after="80"/>
        <w:jc w:val="both"/>
      </w:pPr>
      <w:r>
        <w:rPr>
          <w:b w:val="0"/>
          <w:i w:val="0"/>
        </w:rPr>
        <w:t>2. The trust shall have the objects listed above and its office at {{ trust_office }}.</w:t>
      </w:r>
    </w:p>
    <w:p>
      <w:pPr>
        <w:spacing w:after="80"/>
        <w:jc w:val="both"/>
      </w:pPr>
      <w:r>
        <w:rPr>
          <w:b w:val="0"/>
          <w:i w:val="0"/>
        </w:rPr>
        <w:t>3. The number of trustees shall be {{ min_trustees }}; vacancies shall be filled {{ trustee_succession }}.</w:t>
      </w:r>
    </w:p>
    <w:p>
      <w:pPr>
        <w:spacing w:after="80"/>
        <w:jc w:val="both"/>
      </w:pPr>
      <w:r>
        <w:rPr>
          <w:b w:val="0"/>
          <w:i w:val="0"/>
        </w:rPr>
        <w:t>4. The trust is irrevocable: {{ irrevocable }}. No part of the income shall be used for private benefit of the trustees.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+ 4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