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 / Manufacturer / Franchisor', which expression shall include heirs, legal representatives and assigns) in favour of {{ claimant_names }} (hereinafter called the 'Agent / Distributor / Franchisee',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Products / services covered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products_services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Exclusive appointment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exclusive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Commission / margin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commission_rate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Minimum sales target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minimum_target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Franchise / security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franchise_fee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Termination notice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termination_notice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appoints the Agent for {{ products_services }} in {{ territory }} (exclusive: {{ exclusive }}) for {{ term }}.</w:t>
      </w:r>
    </w:p>
    <w:p>
      <w:pPr>
        <w:spacing w:after="80"/>
        <w:jc w:val="both"/>
      </w:pPr>
      <w:r>
        <w:rPr>
          <w:b w:val="0"/>
          <w:i w:val="0"/>
        </w:rPr>
        <w:t>2. The Agent shall be entitled to commission / margin of {{ commission_rate }}% and shall achieve a minimum target of {{ minimum_target }}.</w:t>
      </w:r>
    </w:p>
    <w:p>
      <w:pPr>
        <w:spacing w:after="80"/>
        <w:jc w:val="both"/>
      </w:pPr>
      <w:r>
        <w:rPr>
          <w:b w:val="0"/>
          <w:i w:val="0"/>
        </w:rPr>
        <w:t>3. Either party may terminate by {{ termination_notice }} notice.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