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'Owner', which expression shall include heirs, legal representatives and assigns) in favour of {{ claimant_names }} (hereinafter called the 'Contractor / Builder / Architect',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Contract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contract_value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Completion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Stage-wise 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payment_stages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Defect liability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defect_liability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Penalty for delay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penalty_delay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Contractor shall construct the building on the Schedule Property as per sanctioned plan for Rs. {{ contract_value }}, starting {{ start_date }} and completing within {{ completion_period }}.</w:t>
      </w:r>
    </w:p>
    <w:p>
      <w:pPr>
        <w:spacing w:after="80"/>
        <w:jc w:val="both"/>
      </w:pPr>
      <w:r>
        <w:rPr>
          <w:b w:val="0"/>
          <w:i w:val="0"/>
        </w:rPr>
        <w:t>2. Payments shall be made as per stages: {{ payment_stages }}.</w:t>
      </w:r>
    </w:p>
    <w:p>
      <w:pPr>
        <w:spacing w:after="80"/>
        <w:jc w:val="both"/>
      </w:pPr>
      <w:r>
        <w:rPr>
          <w:b w:val="0"/>
          <w:i w:val="0"/>
        </w:rPr>
        <w:t>3. Delay penalty: {{ penalty_delay }}; defect liability period: {{ defect_liability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