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Financier', which expression shall include heirs, legal representatives and assigns) in favour of {{ claimant_names }} (hereinafter called the 'Hirer',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hire-purchase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hire_price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Initial payment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initial_payment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Instalment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Number of instalments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instalment_count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Owner lets the goods in the Schedule on hire to the Hirer for a hire-purchase price of Rs. {{ hire_price }}; initial payment Rs. {{ initial_payment }} and {{ instalment_count }} instalments of Rs. {{ instalment_amount }}.</w:t>
      </w:r>
    </w:p>
    <w:p>
      <w:pPr>
        <w:spacing w:after="80"/>
        <w:jc w:val="both"/>
      </w:pPr>
      <w:r>
        <w:rPr>
          <w:b w:val="0"/>
          <w:i w:val="0"/>
        </w:rPr>
        <w:t>2. Ownership passes to the Hirer only on payment of all instalments; on default the Owner may repossess.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