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'First Party', which expression shall include heirs, legal representatives and assigns) in favour of {{ claimant_names }} (hereinafter called the 'Second Party',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JV / target company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jv_company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Shareholding / participation ratio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shareholding_ratio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Capital commitment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capital_commitment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Royalty / technical fee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technology_fee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Board composition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board_composition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Exit / transfer restrictions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exit_clause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parties shall participate in {{ jv_company }} in the ratio {{ shareholding_ratio }} with a capital commitment of Rs. {{ capital_commitment }}.</w:t>
      </w:r>
    </w:p>
    <w:p>
      <w:pPr>
        <w:spacing w:after="80"/>
        <w:jc w:val="both"/>
      </w:pPr>
      <w:r>
        <w:rPr>
          <w:b w:val="0"/>
          <w:i w:val="0"/>
        </w:rPr>
        <w:t>2. Board composition: {{ board_composition }}; royalty / fee: {{ technology_fee }}.</w:t>
      </w:r>
    </w:p>
    <w:p>
      <w:pPr>
        <w:spacing w:after="80"/>
        <w:jc w:val="both"/>
      </w:pPr>
      <w:r>
        <w:rPr>
          <w:b w:val="0"/>
          <w:i w:val="0"/>
        </w:rPr>
        <w:t>3. Transfer of shares shall be subject to {{ exit_clause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