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'Consignor / Company', which expression shall include heirs, legal representatives and assigns) in favour of {{ claimant_names }} (hereinafter called the 'Carrier / Transporter',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Goods / persons to be carried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goods_description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Route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route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Freight rate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freight_rate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Risk basis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risk_basis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Carrier shall transport {{ goods_description }} on the route {{ route }} at {{ freight_rate }} at {{ risk_basis }} for {{ term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