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'Guarantor', which expression shall include heirs, legal representatives and assigns) in favour of {{ claimant_names }} (hereinafter called the 'Creditor / Beneficiary',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Principal debtor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principal_debtor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Guaranteed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guaranteed_amount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Validity / claim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guarantee_validity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Underlying contract / facility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underlying_contract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Guarantor guarantees due payment / performance by {{ principal_debtor }} under {{ underlying_contract }} up to Rs. {{ guaranteed_amount }}, valid {{ guarantee_validity }}.</w:t>
      </w:r>
    </w:p>
    <w:p>
      <w:pPr>
        <w:spacing w:after="80"/>
        <w:jc w:val="both"/>
      </w:pPr>
      <w:r>
        <w:rPr>
          <w:b w:val="0"/>
          <w:i w:val="0"/>
        </w:rPr>
        <w:t>2. The liability of the Guarantor is co-extensive with that of the principal debtor.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