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Indemnifier', which expression shall include heirs, legal representatives and assigns) in favour of {{ claimant_names }} (hereinafter called the 'Indemnified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bject of indemn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demnity_subjec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demnity amount / limi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demnity_amou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Indemnifier shall indemnify and keep indemnified the Indemnified against all losses, claims and costs arising out of {{ indemnity_subject }} up to Rs. {{ indemnity_amount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