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/>
          <w:i w:val="0"/>
        </w:rPr>
        <w:t>Schedule of Movable Property / Subject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Identification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 (Rs.)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it in items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it.identification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it.quantity }}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it.value }}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'Owner / Master / Shipper', which expression shall include heirs, legal representatives and assigns) in favour of {{ claimant_names }} (hereinafter called the 'Charterer / Lender / Consignee',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Vessel name &amp; registry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vessel_name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Voyage /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voyage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Freight / loan / insured amount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freight_or_amount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Goods / cargo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goods_description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This {{ instrument_subtype }} relates to vessel {{ vessel_name }} for the voyage / period {{ voyage }} for Rs. {{ freight_or_amount }}; cargo: {{ goods_description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