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120"/>
        <w:jc w:val="center"/>
      </w:pPr>
      <w:r>
        <w:rPr>
          <w:b/>
          <w:bCs/>
          <w:caps/>
          <w:color w:val="595959"/>
          <w:sz w:val="30"/>
          <w:szCs w:val="30"/>
        </w:rPr>
        <w:t xml:space="preserve">KAVERI 3.0</w:t>
      </w:r>
    </w:p>
    <w:p>
      <w:pPr>
        <w:spacing w:after="400"/>
        <w:jc w:val="center"/>
      </w:pPr>
      <w:r>
        <w:rPr>
          <w:color w:val="595959"/>
          <w:sz w:val="26"/>
          <w:szCs w:val="26"/>
        </w:rPr>
        <w:t xml:space="preserve">Document Registration</w:t>
      </w:r>
    </w:p>
    <w:p>
      <w:pPr>
        <w:spacing w:after="200"/>
        <w:jc w:val="center"/>
      </w:pPr>
      <w:r>
        <w:rPr>
          <w:b/>
          <w:bCs/>
          <w:color w:val="1F3864"/>
          <w:sz w:val="40"/>
          <w:szCs w:val="40"/>
        </w:rPr>
        <w:t xml:space="preserve">Business Process Re-Engineering Document</w:t>
      </w:r>
    </w:p>
    <w:p>
      <w:pPr>
        <w:spacing w:after="900"/>
        <w:jc w:val="center"/>
      </w:pPr>
      <w:r>
        <w:rPr>
          <w:i/>
          <w:iCs/>
          <w:color w:val="2E5395"/>
          <w:sz w:val="22"/>
          <w:szCs w:val="22"/>
        </w:rPr>
        <w:t xml:space="preserve">Registration Core, Approval &amp; Payment Workflow, Valuation (Guideline Value / CVC / GIS), and Rule 17 Filing &amp; Legacy Pending Release</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tblGrid>
      <w:tr>
        <w:tc>
          <w:tcPr>
            <w:tcW w:type="dxa" w:w="2200"/>
            <w:shd w:fill="FFFFFF" w:color="auto" w:val="clear"/>
            <w:tcMar>
              <w:top w:type="dxa" w:w="80"/>
              <w:left w:type="dxa" w:w="100"/>
              <w:bottom w:type="dxa" w:w="80"/>
              <w:right w:type="dxa" w:w="100"/>
            </w:tcMar>
            <w:vAlign w:val="center"/>
          </w:tcPr>
          <w:p>
            <w:pPr>
              <w:jc w:val="left"/>
            </w:pPr>
            <w:r>
              <w:rPr>
                <w:b/>
                <w:bCs/>
                <w:sz w:val="19"/>
                <w:szCs w:val="19"/>
              </w:rPr>
              <w:t xml:space="preserve">Document Version</w:t>
            </w:r>
          </w:p>
        </w:tc>
        <w:tc>
          <w:tcPr>
            <w:tcW w:type="dxa" w:w="4000"/>
            <w:shd w:fill="FFFFFF" w:color="auto" w:val="clear"/>
            <w:tcMar>
              <w:top w:type="dxa" w:w="80"/>
              <w:left w:type="dxa" w:w="100"/>
              <w:bottom w:type="dxa" w:w="80"/>
              <w:right w:type="dxa" w:w="100"/>
            </w:tcMar>
            <w:vAlign w:val="center"/>
          </w:tcPr>
          <w:p>
            <w:pPr>
              <w:jc w:val="left"/>
            </w:pPr>
            <w:r>
              <w:rPr>
                <w:b w:val="false"/>
                <w:bCs w:val="false"/>
                <w:sz w:val="19"/>
                <w:szCs w:val="19"/>
              </w:rPr>
              <w:t xml:space="preserve">v1.0</w:t>
            </w:r>
          </w:p>
        </w:tc>
      </w:tr>
      <w:tr>
        <w:tc>
          <w:tcPr>
            <w:tcW w:type="dxa" w:w="2200"/>
            <w:shd w:fill="DCE6F1" w:color="auto" w:val="clear"/>
            <w:tcMar>
              <w:top w:type="dxa" w:w="80"/>
              <w:left w:type="dxa" w:w="100"/>
              <w:bottom w:type="dxa" w:w="80"/>
              <w:right w:type="dxa" w:w="100"/>
            </w:tcMar>
            <w:vAlign w:val="center"/>
          </w:tcPr>
          <w:p>
            <w:pPr>
              <w:jc w:val="left"/>
            </w:pPr>
            <w:r>
              <w:rPr>
                <w:b/>
                <w:bCs/>
                <w:sz w:val="19"/>
                <w:szCs w:val="19"/>
              </w:rPr>
              <w:t xml:space="preserve">Date</w:t>
            </w:r>
          </w:p>
        </w:tc>
        <w:tc>
          <w:tcPr>
            <w:tcW w:type="dxa" w:w="4000"/>
            <w:shd w:fill="DCE6F1" w:color="auto" w:val="clear"/>
            <w:tcMar>
              <w:top w:type="dxa" w:w="80"/>
              <w:left w:type="dxa" w:w="100"/>
              <w:bottom w:type="dxa" w:w="80"/>
              <w:right w:type="dxa" w:w="100"/>
            </w:tcMar>
            <w:vAlign w:val="center"/>
          </w:tcPr>
          <w:p>
            <w:pPr>
              <w:jc w:val="left"/>
            </w:pPr>
            <w:r>
              <w:rPr>
                <w:b w:val="false"/>
                <w:bCs w:val="false"/>
                <w:sz w:val="19"/>
                <w:szCs w:val="19"/>
              </w:rPr>
              <w:t xml:space="preserve">04-09-2026</w:t>
            </w:r>
          </w:p>
        </w:tc>
      </w:tr>
      <w:tr>
        <w:tc>
          <w:tcPr>
            <w:tcW w:type="dxa" w:w="2200"/>
            <w:shd w:fill="FFFFFF" w:color="auto" w:val="clear"/>
            <w:tcMar>
              <w:top w:type="dxa" w:w="80"/>
              <w:left w:type="dxa" w:w="100"/>
              <w:bottom w:type="dxa" w:w="80"/>
              <w:right w:type="dxa" w:w="100"/>
            </w:tcMar>
            <w:vAlign w:val="center"/>
          </w:tcPr>
          <w:p>
            <w:pPr>
              <w:jc w:val="left"/>
            </w:pPr>
            <w:r>
              <w:rPr>
                <w:b/>
                <w:bCs/>
                <w:sz w:val="19"/>
                <w:szCs w:val="19"/>
              </w:rPr>
              <w:t xml:space="preserve">Prepared by</w:t>
            </w:r>
          </w:p>
        </w:tc>
        <w:tc>
          <w:tcPr>
            <w:tcW w:type="dxa" w:w="4000"/>
            <w:shd w:fill="FFFFFF" w:color="auto" w:val="clear"/>
            <w:tcMar>
              <w:top w:type="dxa" w:w="80"/>
              <w:left w:type="dxa" w:w="100"/>
              <w:bottom w:type="dxa" w:w="80"/>
              <w:right w:type="dxa" w:w="100"/>
            </w:tcMar>
            <w:vAlign w:val="center"/>
          </w:tcPr>
          <w:p>
            <w:pPr>
              <w:jc w:val="left"/>
            </w:pPr>
            <w:r>
              <w:rPr>
                <w:b w:val="false"/>
                <w:bCs w:val="false"/>
                <w:sz w:val="19"/>
                <w:szCs w:val="19"/>
              </w:rPr>
              <w:t xml:space="preserve">Kaveri IT Cell</w:t>
            </w:r>
          </w:p>
        </w:tc>
      </w:tr>
      <w:tr>
        <w:tc>
          <w:tcPr>
            <w:tcW w:type="dxa" w:w="2200"/>
            <w:shd w:fill="DCE6F1" w:color="auto" w:val="clear"/>
            <w:tcMar>
              <w:top w:type="dxa" w:w="80"/>
              <w:left w:type="dxa" w:w="100"/>
              <w:bottom w:type="dxa" w:w="80"/>
              <w:right w:type="dxa" w:w="100"/>
            </w:tcMar>
            <w:vAlign w:val="center"/>
          </w:tcPr>
          <w:p>
            <w:pPr>
              <w:jc w:val="left"/>
            </w:pPr>
            <w:r>
              <w:rPr>
                <w:b/>
                <w:bCs/>
                <w:sz w:val="19"/>
                <w:szCs w:val="19"/>
              </w:rPr>
              <w:t xml:space="preserve">Source Discussions Covered</w:t>
            </w:r>
          </w:p>
        </w:tc>
        <w:tc>
          <w:tcPr>
            <w:tcW w:type="dxa" w:w="4000"/>
            <w:shd w:fill="DCE6F1" w:color="auto" w:val="clear"/>
            <w:tcMar>
              <w:top w:type="dxa" w:w="80"/>
              <w:left w:type="dxa" w:w="100"/>
              <w:bottom w:type="dxa" w:w="80"/>
              <w:right w:type="dxa" w:w="100"/>
            </w:tcMar>
            <w:vAlign w:val="center"/>
          </w:tcPr>
          <w:p>
            <w:pPr>
              <w:jc w:val="left"/>
            </w:pPr>
            <w:r>
              <w:rPr>
                <w:b w:val="false"/>
                <w:bCs w:val="false"/>
                <w:sz w:val="19"/>
                <w:szCs w:val="19"/>
              </w:rPr>
              <w:t xml:space="preserve">27-08-2026, 28-08-2026, 01-09-2026, 02-09-2026</w:t>
            </w:r>
          </w:p>
        </w:tc>
      </w:tr>
      <w:tr>
        <w:tc>
          <w:tcPr>
            <w:tcW w:type="dxa" w:w="2200"/>
            <w:shd w:fill="FFFFFF" w:color="auto" w:val="clear"/>
            <w:tcMar>
              <w:top w:type="dxa" w:w="80"/>
              <w:left w:type="dxa" w:w="100"/>
              <w:bottom w:type="dxa" w:w="80"/>
              <w:right w:type="dxa" w:w="100"/>
            </w:tcMar>
            <w:vAlign w:val="center"/>
          </w:tcPr>
          <w:p>
            <w:pPr>
              <w:jc w:val="left"/>
            </w:pPr>
            <w:r>
              <w:rPr>
                <w:b/>
                <w:bCs/>
                <w:sz w:val="19"/>
                <w:szCs w:val="19"/>
              </w:rPr>
              <w:t xml:space="preserve">Prepared for</w:t>
            </w:r>
          </w:p>
        </w:tc>
        <w:tc>
          <w:tcPr>
            <w:tcW w:type="dxa" w:w="4000"/>
            <w:shd w:fill="FFFFFF" w:color="auto" w:val="clear"/>
            <w:tcMar>
              <w:top w:type="dxa" w:w="80"/>
              <w:left w:type="dxa" w:w="100"/>
              <w:bottom w:type="dxa" w:w="80"/>
              <w:right w:type="dxa" w:w="100"/>
            </w:tcMar>
            <w:vAlign w:val="center"/>
          </w:tcPr>
          <w:p>
            <w:pPr>
              <w:jc w:val="left"/>
            </w:pPr>
            <w:r>
              <w:rPr>
                <w:b w:val="false"/>
                <w:bCs w:val="false"/>
                <w:sz w:val="19"/>
                <w:szCs w:val="19"/>
              </w:rPr>
              <w:t xml:space="preserve">mvprash's Organization — Kaveri 3.0 Programme</w:t>
            </w:r>
          </w:p>
        </w:tc>
      </w:tr>
      <w:tr>
        <w:tc>
          <w:tcPr>
            <w:tcW w:type="dxa" w:w="2200"/>
            <w:shd w:fill="DCE6F1" w:color="auto" w:val="clear"/>
            <w:tcMar>
              <w:top w:type="dxa" w:w="80"/>
              <w:left w:type="dxa" w:w="100"/>
              <w:bottom w:type="dxa" w:w="80"/>
              <w:right w:type="dxa" w:w="100"/>
            </w:tcMar>
            <w:vAlign w:val="center"/>
          </w:tcPr>
          <w:p>
            <w:pPr>
              <w:jc w:val="left"/>
            </w:pPr>
            <w:r>
              <w:rPr>
                <w:b/>
                <w:bCs/>
                <w:sz w:val="19"/>
                <w:szCs w:val="19"/>
              </w:rPr>
              <w:t xml:space="preserve">Status</w:t>
            </w:r>
          </w:p>
        </w:tc>
        <w:tc>
          <w:tcPr>
            <w:tcW w:type="dxa" w:w="4000"/>
            <w:shd w:fill="DCE6F1" w:color="auto" w:val="clear"/>
            <w:tcMar>
              <w:top w:type="dxa" w:w="80"/>
              <w:left w:type="dxa" w:w="100"/>
              <w:bottom w:type="dxa" w:w="80"/>
              <w:right w:type="dxa" w:w="100"/>
            </w:tcMar>
            <w:vAlign w:val="center"/>
          </w:tcPr>
          <w:p>
            <w:pPr>
              <w:jc w:val="left"/>
            </w:pPr>
            <w:r>
              <w:rPr>
                <w:b w:val="false"/>
                <w:bCs w:val="false"/>
                <w:sz w:val="19"/>
                <w:szCs w:val="19"/>
              </w:rPr>
              <w:t xml:space="preserve">Draft for Review</w:t>
            </w:r>
          </w:p>
        </w:tc>
      </w:tr>
    </w:tbl>
    <w:p>
      <w:r>
        <w:br w:type="page"/>
      </w:r>
    </w:p>
    <w:p>
      <w:pPr>
        <w:pStyle w:val="Heading1"/>
        <w:pBdr>
          <w:bottom w:val="single" w:color="1F3864" w:sz="8" w:space="4"/>
        </w:pBdr>
        <w:spacing w:after="180" w:before="360"/>
      </w:pPr>
      <w:r>
        <w:rPr>
          <w:b/>
          <w:bCs/>
          <w:color w:val="1F3864"/>
        </w:rPr>
        <w:t xml:space="preserve">Document Control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5800"/>
        <w:gridCol w:w="1600"/>
      </w:tblGrid>
      <w:tr>
        <w:trPr>
          <w:tblHeader/>
        </w:trPr>
        <w:tc>
          <w:tcPr>
            <w:tcW w:type="dxa" w:w="1000"/>
            <w:shd w:fill="1F3864" w:color="auto" w:val="clear"/>
            <w:tcMar>
              <w:top w:type="dxa" w:w="80"/>
              <w:left w:type="dxa" w:w="100"/>
              <w:bottom w:type="dxa" w:w="80"/>
              <w:right w:type="dxa" w:w="100"/>
            </w:tcMar>
            <w:vAlign w:val="center"/>
          </w:tcPr>
          <w:p>
            <w:pPr>
              <w:jc w:val="left"/>
            </w:pPr>
            <w:r>
              <w:rPr>
                <w:b/>
                <w:bCs/>
                <w:color w:val="FFFFFF"/>
                <w:sz w:val="19"/>
                <w:szCs w:val="19"/>
              </w:rPr>
              <w:t xml:space="preserve">Version</w:t>
            </w:r>
          </w:p>
        </w:tc>
        <w:tc>
          <w:tcPr>
            <w:tcW w:type="dxa" w:w="1300"/>
            <w:shd w:fill="1F3864" w:color="auto" w:val="clear"/>
            <w:tcMar>
              <w:top w:type="dxa" w:w="80"/>
              <w:left w:type="dxa" w:w="100"/>
              <w:bottom w:type="dxa" w:w="80"/>
              <w:right w:type="dxa" w:w="100"/>
            </w:tcMar>
            <w:vAlign w:val="center"/>
          </w:tcPr>
          <w:p>
            <w:pPr>
              <w:jc w:val="left"/>
            </w:pPr>
            <w:r>
              <w:rPr>
                <w:b/>
                <w:bCs/>
                <w:color w:val="FFFFFF"/>
                <w:sz w:val="19"/>
                <w:szCs w:val="19"/>
              </w:rPr>
              <w:t xml:space="preserve">Date</w:t>
            </w:r>
          </w:p>
        </w:tc>
        <w:tc>
          <w:tcPr>
            <w:tcW w:type="dxa" w:w="5800"/>
            <w:shd w:fill="1F3864" w:color="auto"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600"/>
            <w:shd w:fill="1F3864" w:color="auto" w:val="clear"/>
            <w:tcMar>
              <w:top w:type="dxa" w:w="80"/>
              <w:left w:type="dxa" w:w="100"/>
              <w:bottom w:type="dxa" w:w="80"/>
              <w:right w:type="dxa" w:w="100"/>
            </w:tcMar>
            <w:vAlign w:val="center"/>
          </w:tcPr>
          <w:p>
            <w:pPr>
              <w:jc w:val="left"/>
            </w:pPr>
            <w:r>
              <w:rPr>
                <w:b/>
                <w:bCs/>
                <w:color w:val="FFFFFF"/>
                <w:sz w:val="19"/>
                <w:szCs w:val="19"/>
              </w:rPr>
              <w:t xml:space="preserve">Author</w:t>
            </w:r>
          </w:p>
        </w:tc>
      </w:tr>
      <w:tr>
        <w:tc>
          <w:tcPr>
            <w:tcW w:type="dxa" w:w="1000"/>
            <w:shd w:fill="FFFFFF" w:color="auto" w:val="clear"/>
            <w:tcMar>
              <w:top w:type="dxa" w:w="80"/>
              <w:left w:type="dxa" w:w="100"/>
              <w:bottom w:type="dxa" w:w="80"/>
              <w:right w:type="dxa" w:w="100"/>
            </w:tcMar>
            <w:vAlign w:val="center"/>
          </w:tcPr>
          <w:p>
            <w:pPr>
              <w:jc w:val="left"/>
            </w:pPr>
            <w:r>
              <w:rPr>
                <w:b w:val="false"/>
                <w:bCs w:val="false"/>
                <w:sz w:val="19"/>
                <w:szCs w:val="19"/>
              </w:rPr>
              <w:t xml:space="preserve">0.1</w:t>
            </w:r>
          </w:p>
        </w:tc>
        <w:tc>
          <w:tcPr>
            <w:tcW w:type="dxa" w:w="1300"/>
            <w:shd w:fill="FFFFFF" w:color="auto" w:val="clear"/>
            <w:tcMar>
              <w:top w:type="dxa" w:w="80"/>
              <w:left w:type="dxa" w:w="100"/>
              <w:bottom w:type="dxa" w:w="80"/>
              <w:right w:type="dxa" w:w="100"/>
            </w:tcMar>
            <w:vAlign w:val="center"/>
          </w:tcPr>
          <w:p>
            <w:pPr>
              <w:jc w:val="left"/>
            </w:pPr>
            <w:r>
              <w:rPr>
                <w:b w:val="false"/>
                <w:bCs w:val="false"/>
                <w:sz w:val="19"/>
                <w:szCs w:val="19"/>
              </w:rPr>
              <w:t xml:space="preserve">04-09-2026</w:t>
            </w:r>
          </w:p>
        </w:tc>
        <w:tc>
          <w:tcPr>
            <w:tcW w:type="dxa" w:w="5800"/>
            <w:shd w:fill="FFFFFF" w:color="auto" w:val="clear"/>
            <w:tcMar>
              <w:top w:type="dxa" w:w="80"/>
              <w:left w:type="dxa" w:w="100"/>
              <w:bottom w:type="dxa" w:w="80"/>
              <w:right w:type="dxa" w:w="100"/>
            </w:tcMar>
            <w:vAlign w:val="center"/>
          </w:tcPr>
          <w:p>
            <w:pPr>
              <w:jc w:val="left"/>
            </w:pPr>
            <w:r>
              <w:rPr>
                <w:b w:val="false"/>
                <w:bCs w:val="false"/>
                <w:sz w:val="19"/>
                <w:szCs w:val="19"/>
              </w:rPr>
              <w:t xml:space="preserve">Initial consolidated draft, synthesised from the 27-08, 28-08, 01-09 and 02-09-2026 requirement discussion notes.</w:t>
            </w:r>
          </w:p>
        </w:tc>
        <w:tc>
          <w:tcPr>
            <w:tcW w:type="dxa" w:w="1600"/>
            <w:shd w:fill="FFFFFF" w:color="auto" w:val="clear"/>
            <w:tcMar>
              <w:top w:type="dxa" w:w="80"/>
              <w:left w:type="dxa" w:w="100"/>
              <w:bottom w:type="dxa" w:w="80"/>
              <w:right w:type="dxa" w:w="100"/>
            </w:tcMar>
            <w:vAlign w:val="center"/>
          </w:tcPr>
          <w:p>
            <w:pPr>
              <w:jc w:val="left"/>
            </w:pPr>
            <w:r>
              <w:rPr>
                <w:b w:val="false"/>
                <w:bCs w:val="false"/>
                <w:sz w:val="19"/>
                <w:szCs w:val="19"/>
              </w:rPr>
              <w:t xml:space="preserve">Kaveri IT Cell</w:t>
            </w:r>
          </w:p>
        </w:tc>
      </w:tr>
    </w:tbl>
    <w:p>
      <w:pPr>
        <w:spacing w:before="300"/>
      </w:pPr>
    </w:p>
    <w:p>
      <w:pPr>
        <w:pStyle w:val="Heading2"/>
        <w:spacing w:after="140" w:before="280"/>
      </w:pPr>
      <w:r>
        <w:rPr>
          <w:b/>
          <w:bCs/>
          <w:color w:val="2E5395"/>
        </w:rPr>
        <w:t xml:space="preserve">Referenced Source Documents (Daily Reports folder)</w:t>
      </w:r>
    </w:p>
    <w:p>
      <w:pPr>
        <w:pStyle w:val="ListParagraph"/>
        <w:numPr>
          <w:ilvl w:val="0"/>
          <w:numId w:val="2"/>
        </w:numPr>
        <w:spacing w:after="100"/>
      </w:pPr>
      <w:r>
        <w:rPr>
          <w:sz w:val="21"/>
          <w:szCs w:val="21"/>
        </w:rPr>
        <w:t xml:space="preserve">Document_Registration_requirement_27082026_v1.1.docx</w:t>
      </w:r>
    </w:p>
    <w:p>
      <w:pPr>
        <w:pStyle w:val="ListParagraph"/>
        <w:numPr>
          <w:ilvl w:val="0"/>
          <w:numId w:val="2"/>
        </w:numPr>
        <w:spacing w:after="100"/>
      </w:pPr>
      <w:r>
        <w:rPr>
          <w:sz w:val="21"/>
          <w:szCs w:val="21"/>
        </w:rPr>
        <w:t xml:space="preserve">Document_Registration_requirement_28082026_v1.1.docx</w:t>
      </w:r>
    </w:p>
    <w:p>
      <w:pPr>
        <w:pStyle w:val="ListParagraph"/>
        <w:numPr>
          <w:ilvl w:val="0"/>
          <w:numId w:val="2"/>
        </w:numPr>
        <w:spacing w:after="100"/>
      </w:pPr>
      <w:r>
        <w:rPr>
          <w:sz w:val="21"/>
          <w:szCs w:val="21"/>
        </w:rPr>
        <w:t xml:space="preserve">Document_Registration_requirement_01092026_v2.docx</w:t>
      </w:r>
    </w:p>
    <w:p>
      <w:pPr>
        <w:pStyle w:val="ListParagraph"/>
        <w:numPr>
          <w:ilvl w:val="0"/>
          <w:numId w:val="2"/>
        </w:numPr>
        <w:spacing w:after="100"/>
      </w:pPr>
      <w:r>
        <w:rPr>
          <w:sz w:val="21"/>
          <w:szCs w:val="21"/>
        </w:rPr>
        <w:t xml:space="preserve">Document_Registration_requirement_02092026_v1.1.docx</w:t>
      </w:r>
    </w:p>
    <w:p>
      <w:r>
        <w:br w:type="page"/>
      </w:r>
    </w:p>
    <w:p>
      <w:pPr>
        <w:pStyle w:val="Heading1"/>
        <w:pBdr>
          <w:bottom w:val="single" w:color="1F3864" w:sz="8" w:space="4"/>
        </w:pBdr>
        <w:spacing w:after="180" w:before="360"/>
      </w:pPr>
      <w:r>
        <w:rPr>
          <w:b/>
          <w:bCs/>
          <w:color w:val="1F3864"/>
        </w:rPr>
        <w:t xml:space="preserve">Table of Contents</w:t>
      </w:r>
    </w:p>
    <w:p>
      <w:pPr>
        <w:tabs>
          <w:tab w:val="right" w:pos="9350" w:leader="dot"/>
        </w:tabs>
        <w:spacing w:after="140"/>
      </w:pPr>
      <w:r>
        <w:rPr>
          <w:sz w:val="22"/>
          <w:szCs w:val="22"/>
        </w:rPr>
        <w:t xml:space="preserve">1. Executive Summary</w:t>
      </w:r>
    </w:p>
    <w:p>
      <w:pPr>
        <w:tabs>
          <w:tab w:val="right" w:pos="9350" w:leader="dot"/>
        </w:tabs>
        <w:spacing w:after="140"/>
      </w:pPr>
      <w:r>
        <w:rPr>
          <w:sz w:val="22"/>
          <w:szCs w:val="22"/>
        </w:rPr>
        <w:t xml:space="preserve">2. Purpose, Scope &amp; Methodology</w:t>
      </w:r>
    </w:p>
    <w:p>
      <w:pPr>
        <w:tabs>
          <w:tab w:val="right" w:pos="9350" w:leader="dot"/>
        </w:tabs>
        <w:spacing w:after="140"/>
      </w:pPr>
      <w:r>
        <w:rPr>
          <w:sz w:val="22"/>
          <w:szCs w:val="22"/>
        </w:rPr>
        <w:t xml:space="preserve">3.1 Workstream A — Registration Intake &amp; Core Registration Flow (27-08-2026)</w:t>
      </w:r>
    </w:p>
    <w:p>
      <w:pPr>
        <w:tabs>
          <w:tab w:val="right" w:pos="9350" w:leader="dot"/>
        </w:tabs>
        <w:spacing w:after="140"/>
      </w:pPr>
      <w:r>
        <w:rPr>
          <w:sz w:val="22"/>
          <w:szCs w:val="22"/>
        </w:rPr>
        <w:t xml:space="preserve">3.2 Workstream B — Approval, Payment, Scheduling &amp; Workflow (28-08-2026)</w:t>
      </w:r>
    </w:p>
    <w:p>
      <w:pPr>
        <w:tabs>
          <w:tab w:val="right" w:pos="9350" w:leader="dot"/>
        </w:tabs>
        <w:spacing w:after="140"/>
      </w:pPr>
      <w:r>
        <w:rPr>
          <w:sz w:val="22"/>
          <w:szCs w:val="22"/>
        </w:rPr>
        <w:t xml:space="preserve">3.3 Workstream C — Valuation Re-Engineering: Guideline Value, CVC &amp; GIS (01-09-2026)</w:t>
      </w:r>
    </w:p>
    <w:p>
      <w:pPr>
        <w:tabs>
          <w:tab w:val="right" w:pos="9350" w:leader="dot"/>
        </w:tabs>
        <w:spacing w:after="140"/>
      </w:pPr>
      <w:r>
        <w:rPr>
          <w:sz w:val="22"/>
          <w:szCs w:val="22"/>
        </w:rPr>
        <w:t xml:space="preserve">3.4 Workstream D — Filing &amp; Legacy-Document Re-Engineering (02-09-2026)</w:t>
      </w:r>
    </w:p>
    <w:p>
      <w:pPr>
        <w:tabs>
          <w:tab w:val="right" w:pos="9350" w:leader="dot"/>
        </w:tabs>
        <w:spacing w:after="140"/>
      </w:pPr>
      <w:r>
        <w:rPr>
          <w:sz w:val="22"/>
          <w:szCs w:val="22"/>
        </w:rPr>
        <w:t xml:space="preserve">4. Consolidated Recommendations &amp; Phased Roadmap</w:t>
      </w:r>
    </w:p>
    <w:p>
      <w:pPr>
        <w:tabs>
          <w:tab w:val="right" w:pos="9350" w:leader="dot"/>
        </w:tabs>
        <w:spacing w:after="140"/>
      </w:pPr>
      <w:r>
        <w:rPr>
          <w:sz w:val="22"/>
          <w:szCs w:val="22"/>
        </w:rPr>
        <w:t xml:space="preserve">5. Legal &amp; Regulatory Reference Matrix</w:t>
      </w:r>
    </w:p>
    <w:p>
      <w:pPr>
        <w:tabs>
          <w:tab w:val="right" w:pos="9350" w:leader="dot"/>
        </w:tabs>
        <w:spacing w:after="140"/>
      </w:pPr>
      <w:r>
        <w:rPr>
          <w:sz w:val="22"/>
          <w:szCs w:val="22"/>
        </w:rPr>
        <w:t xml:space="preserve">6. Open Queries, Risks &amp; Dependencies</w:t>
      </w:r>
    </w:p>
    <w:p>
      <w:pPr>
        <w:tabs>
          <w:tab w:val="right" w:pos="9350" w:leader="dot"/>
        </w:tabs>
        <w:spacing w:after="140"/>
      </w:pPr>
      <w:r>
        <w:rPr>
          <w:sz w:val="22"/>
          <w:szCs w:val="22"/>
        </w:rPr>
        <w:t xml:space="preserve">7. Next Steps</w:t>
      </w:r>
    </w:p>
    <w:p>
      <w:r>
        <w:br w:type="page"/>
      </w:r>
    </w:p>
    <w:p>
      <w:pPr>
        <w:pStyle w:val="Heading1"/>
        <w:pBdr>
          <w:bottom w:val="single" w:color="1F3864" w:sz="8" w:space="4"/>
        </w:pBdr>
        <w:spacing w:after="180" w:before="360"/>
      </w:pPr>
      <w:r>
        <w:rPr>
          <w:b/>
          <w:bCs/>
          <w:color w:val="1F3864"/>
        </w:rPr>
        <w:t xml:space="preserve">1. Executive Summary</w:t>
      </w:r>
    </w:p>
    <w:p>
      <w:pPr>
        <w:spacing w:after="160"/>
      </w:pPr>
      <w:r>
        <w:rPr>
          <w:sz w:val="21"/>
          <w:szCs w:val="21"/>
        </w:rPr>
        <w:t xml:space="preserve">Between 27 August 2026 and 2 September 2026, the Kaveri IT Cell held four structured walkthroughs of the Document Registration service with the AIGR, Project Management, CMS and DIGR‑Valuation stakeholders. Each session paired a live process walkthrough with the corresponding ServiceDesk defect data, producing a detailed, evidence-based picture of where the current (Kaveri 2.0) process breaks down and why.</w:t>
      </w:r>
    </w:p>
    <w:p>
      <w:pPr>
        <w:spacing w:after="160"/>
      </w:pPr>
      <w:r>
        <w:rPr>
          <w:sz w:val="21"/>
          <w:szCs w:val="21"/>
        </w:rPr>
        <w:t xml:space="preserve">This document consolidates those four sessions into a single Business Process Re-Engineering (BPR) proposal for Kaveri 3.0. It is organised into four workstreams that mirror the actual meeting structure: (A) registration intake and the core registration flow, (B) approval, payment, scheduling and status workflow, (C) guideline-value, CVC and GIS-based valuation, and (D) Rule 17 institutional filing, legacy pending-document release, and Government e-filing.</w:t>
      </w:r>
    </w:p>
    <w:p>
      <w:pPr>
        <w:spacing w:after="160"/>
      </w:pPr>
      <w:r>
        <w:rPr>
          <w:sz w:val="21"/>
          <w:szCs w:val="21"/>
        </w:rPr>
        <w:t xml:space="preserve">The recurring pattern across all four workstreams is the same: generic, one-size-fits-all screens and unreliable save/calculation logic are producing a large, well-documented volume of ServiceDesk tickets. The re-engineering recommendation is consistently to replace generic capture with rule-driven, context-aware capture (guided article selection, dynamic party labels, GIS-anchored valuation, category-mapped Rule 17 filing), and to rebuild the calculation and release logic that currently fails silently or inconsistently.</w:t>
      </w:r>
    </w:p>
    <w:p>
      <w:pPr>
        <w:spacing w:after="120"/>
      </w:pPr>
      <w:r>
        <w:rPr>
          <w:b/>
          <w:bCs/>
          <w:color w:val="2E5395"/>
          <w:sz w:val="21"/>
          <w:szCs w:val="21"/>
        </w:rPr>
        <w:t xml:space="preserve">Recommendation:  </w:t>
      </w:r>
      <w:r>
        <w:rPr>
          <w:sz w:val="21"/>
          <w:szCs w:val="21"/>
        </w:rPr>
        <w:t xml:space="preserve">Adopt the four-workstream re-engineering scope in Section 3, sequenced per the phased roadmap in Section 4, with Phase 1 (defect stabilisation) treated as a precondition for the interface and engine redesign in Phases 2–4.</w:t>
      </w:r>
    </w:p>
    <w:p>
      <w:pPr>
        <w:pStyle w:val="Heading1"/>
        <w:pBdr>
          <w:bottom w:val="single" w:color="1F3864" w:sz="8" w:space="4"/>
        </w:pBdr>
        <w:spacing w:after="180" w:before="360"/>
      </w:pPr>
      <w:r>
        <w:rPr>
          <w:b/>
          <w:bCs/>
          <w:color w:val="1F3864"/>
        </w:rPr>
        <w:t xml:space="preserve">2. Purpose, Scope &amp; Methodology</w:t>
      </w:r>
    </w:p>
    <w:p>
      <w:pPr>
        <w:pStyle w:val="Heading2"/>
        <w:spacing w:after="140" w:before="280"/>
      </w:pPr>
      <w:r>
        <w:rPr>
          <w:b/>
          <w:bCs/>
          <w:color w:val="2E5395"/>
        </w:rPr>
        <w:t xml:space="preserve">2.1 Purpose</w:t>
      </w:r>
    </w:p>
    <w:p>
      <w:pPr>
        <w:spacing w:after="160"/>
      </w:pPr>
      <w:r>
        <w:rPr>
          <w:sz w:val="21"/>
          <w:szCs w:val="21"/>
        </w:rPr>
        <w:t xml:space="preserve">To translate the requirement discussions held on 27-08-2026, 28-08-2026, 01-09-2026 and 02-09-2026 into a single, actionable Business Process Re-Engineering document that the Kaveri 3.0 team can use to plan design, development and legal sign-off for the Document Registration service.</w:t>
      </w:r>
    </w:p>
    <w:p>
      <w:pPr>
        <w:pStyle w:val="Heading2"/>
        <w:spacing w:after="140" w:before="280"/>
      </w:pPr>
      <w:r>
        <w:rPr>
          <w:b/>
          <w:bCs/>
          <w:color w:val="2E5395"/>
        </w:rPr>
        <w:t xml:space="preserve">2.2 Scope</w:t>
      </w:r>
    </w:p>
    <w:p>
      <w:pPr>
        <w:spacing w:after="160"/>
      </w:pPr>
      <w:r>
        <w:rPr>
          <w:sz w:val="21"/>
          <w:szCs w:val="21"/>
        </w:rPr>
        <w:t xml:space="preserve">In scope: every topic minuted in the four discussion notes listed in Document Control, together with the ServiceDesk pain points those notes were cross-referenced against, and the Acts/Rules/notifications each note cited as the legal basis for the topic.</w:t>
      </w:r>
    </w:p>
    <w:p>
      <w:pPr>
        <w:spacing w:after="160"/>
      </w:pPr>
      <w:r>
        <w:rPr>
          <w:sz w:val="21"/>
          <w:szCs w:val="21"/>
        </w:rPr>
        <w:t xml:space="preserve">Out of scope: topics discussed on any other date (e.g. the 25-08-2026 User Management discussion), and any requirement not traceable to one of the four source notes.</w:t>
      </w:r>
    </w:p>
    <w:p>
      <w:pPr>
        <w:pStyle w:val="Heading2"/>
        <w:spacing w:after="140" w:before="280"/>
      </w:pPr>
      <w:r>
        <w:rPr>
          <w:b/>
          <w:bCs/>
          <w:color w:val="2E5395"/>
        </w:rPr>
        <w:t xml:space="preserve">2.3 Methodology</w:t>
      </w:r>
    </w:p>
    <w:p>
      <w:pPr>
        <w:pStyle w:val="ListParagraph"/>
        <w:numPr>
          <w:ilvl w:val="0"/>
          <w:numId w:val="2"/>
        </w:numPr>
        <w:spacing w:after="100"/>
      </w:pPr>
      <w:r>
        <w:rPr>
          <w:sz w:val="21"/>
          <w:szCs w:val="21"/>
        </w:rPr>
        <w:t xml:space="preserve">Each source note was read in full, including its tables of Acts, Rules, notifications and ServiceDesk pain points.</w:t>
      </w:r>
    </w:p>
    <w:p>
      <w:pPr>
        <w:pStyle w:val="ListParagraph"/>
        <w:numPr>
          <w:ilvl w:val="0"/>
          <w:numId w:val="2"/>
        </w:numPr>
        <w:spacing w:after="100"/>
      </w:pPr>
      <w:r>
        <w:rPr>
          <w:sz w:val="21"/>
          <w:szCs w:val="21"/>
        </w:rPr>
        <w:t xml:space="preserve">Topics were grouped into four workstreams aligned to the four meeting dates, since each date already had a coherent theme (intake, workflow, valuation, filing/legacy).</w:t>
      </w:r>
    </w:p>
    <w:p>
      <w:pPr>
        <w:pStyle w:val="ListParagraph"/>
        <w:numPr>
          <w:ilvl w:val="0"/>
          <w:numId w:val="2"/>
        </w:numPr>
        <w:spacing w:after="100"/>
      </w:pPr>
      <w:r>
        <w:rPr>
          <w:sz w:val="21"/>
          <w:szCs w:val="21"/>
        </w:rPr>
        <w:t xml:space="preserve">For every topic, the current-state description ("As-Is") and its ServiceDesk evidence were paired with the re-engineered recommendation ("To-Be") captured in the same note.</w:t>
      </w:r>
    </w:p>
    <w:p>
      <w:pPr>
        <w:pStyle w:val="ListParagraph"/>
        <w:numPr>
          <w:ilvl w:val="0"/>
          <w:numId w:val="2"/>
        </w:numPr>
        <w:spacing w:after="100"/>
      </w:pPr>
      <w:r>
        <w:rPr>
          <w:sz w:val="21"/>
          <w:szCs w:val="21"/>
        </w:rPr>
        <w:t xml:space="preserve">The legal references cited across all four notes were de-duplicated into a single reference matrix (Section 5) so the same Act/Rule is not repeated per workstream.</w:t>
      </w:r>
    </w:p>
    <w:p>
      <w:pPr>
        <w:pStyle w:val="ListParagraph"/>
        <w:numPr>
          <w:ilvl w:val="0"/>
          <w:numId w:val="2"/>
        </w:numPr>
        <w:spacing w:after="100"/>
      </w:pPr>
      <w:r>
        <w:rPr>
          <w:sz w:val="21"/>
          <w:szCs w:val="21"/>
        </w:rPr>
        <w:t xml:space="preserve">Items explicitly deferred by the participants (Version 3.0 scope, items needing further study) are flagged separately rather than folded into the immediate recommendation, to preserve the decision the meeting actually made.</w:t>
      </w:r>
    </w:p>
    <w:p>
      <w:pPr>
        <w:pStyle w:val="Heading2"/>
        <w:spacing w:after="140" w:before="280"/>
      </w:pPr>
      <w:r>
        <w:rPr>
          <w:b/>
          <w:bCs/>
          <w:color w:val="2E5395"/>
        </w:rPr>
        <w:t xml:space="preserve">2.4 Discussions Covered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00"/>
        <w:gridCol w:w="5100"/>
        <w:gridCol w:w="3500"/>
      </w:tblGrid>
      <w:tr>
        <w:trPr>
          <w:tblHeader/>
        </w:trPr>
        <w:tc>
          <w:tcPr>
            <w:tcW w:type="dxa" w:w="1100"/>
            <w:shd w:fill="1F3864" w:color="auto" w:val="clear"/>
            <w:tcMar>
              <w:top w:type="dxa" w:w="80"/>
              <w:left w:type="dxa" w:w="100"/>
              <w:bottom w:type="dxa" w:w="80"/>
              <w:right w:type="dxa" w:w="100"/>
            </w:tcMar>
            <w:vAlign w:val="center"/>
          </w:tcPr>
          <w:p>
            <w:pPr>
              <w:jc w:val="left"/>
            </w:pPr>
            <w:r>
              <w:rPr>
                <w:b/>
                <w:bCs/>
                <w:color w:val="FFFFFF"/>
                <w:sz w:val="19"/>
                <w:szCs w:val="19"/>
              </w:rPr>
              <w:t xml:space="preserve">Date</w:t>
            </w:r>
          </w:p>
        </w:tc>
        <w:tc>
          <w:tcPr>
            <w:tcW w:type="dxa" w:w="5100"/>
            <w:shd w:fill="1F3864" w:color="auto" w:val="clear"/>
            <w:tcMar>
              <w:top w:type="dxa" w:w="80"/>
              <w:left w:type="dxa" w:w="100"/>
              <w:bottom w:type="dxa" w:w="80"/>
              <w:right w:type="dxa" w:w="100"/>
            </w:tcMar>
            <w:vAlign w:val="center"/>
          </w:tcPr>
          <w:p>
            <w:pPr>
              <w:jc w:val="left"/>
            </w:pPr>
            <w:r>
              <w:rPr>
                <w:b/>
                <w:bCs/>
                <w:color w:val="FFFFFF"/>
                <w:sz w:val="19"/>
                <w:szCs w:val="19"/>
              </w:rPr>
              <w:t xml:space="preserve">Topics Discussed</w:t>
            </w:r>
          </w:p>
        </w:tc>
        <w:tc>
          <w:tcPr>
            <w:tcW w:type="dxa" w:w="3500"/>
            <w:shd w:fill="1F3864" w:color="auto" w:val="clear"/>
            <w:tcMar>
              <w:top w:type="dxa" w:w="80"/>
              <w:left w:type="dxa" w:w="100"/>
              <w:bottom w:type="dxa" w:w="80"/>
              <w:right w:type="dxa" w:w="100"/>
            </w:tcMar>
            <w:vAlign w:val="center"/>
          </w:tcPr>
          <w:p>
            <w:pPr>
              <w:jc w:val="left"/>
            </w:pPr>
            <w:r>
              <w:rPr>
                <w:b/>
                <w:bCs/>
                <w:color w:val="FFFFFF"/>
                <w:sz w:val="19"/>
                <w:szCs w:val="19"/>
              </w:rPr>
              <w:t xml:space="preserve">Attendees</w:t>
            </w:r>
          </w:p>
        </w:tc>
      </w:tr>
      <w:tr>
        <w:tc>
          <w:tcPr>
            <w:tcW w:type="dxa" w:w="1100"/>
            <w:shd w:fill="FFFFFF" w:color="auto" w:val="clear"/>
            <w:tcMar>
              <w:top w:type="dxa" w:w="80"/>
              <w:left w:type="dxa" w:w="100"/>
              <w:bottom w:type="dxa" w:w="80"/>
              <w:right w:type="dxa" w:w="100"/>
            </w:tcMar>
            <w:vAlign w:val="center"/>
          </w:tcPr>
          <w:p>
            <w:pPr>
              <w:jc w:val="left"/>
            </w:pPr>
            <w:r>
              <w:rPr>
                <w:b w:val="false"/>
                <w:bCs w:val="false"/>
                <w:sz w:val="19"/>
                <w:szCs w:val="19"/>
              </w:rPr>
              <w:t xml:space="preserve">27-08-2026</w:t>
            </w:r>
          </w:p>
        </w:tc>
        <w:tc>
          <w:tcPr>
            <w:tcW w:type="dxa" w:w="5100"/>
            <w:shd w:fill="FFFFFF" w:color="auto" w:val="clear"/>
            <w:tcMar>
              <w:top w:type="dxa" w:w="80"/>
              <w:left w:type="dxa" w:w="100"/>
              <w:bottom w:type="dxa" w:w="80"/>
              <w:right w:type="dxa" w:w="100"/>
            </w:tcMar>
            <w:vAlign w:val="center"/>
          </w:tcPr>
          <w:p>
            <w:pPr>
              <w:jc w:val="left"/>
            </w:pPr>
            <w:r>
              <w:rPr>
                <w:b w:val="false"/>
                <w:bCs w:val="false"/>
                <w:sz w:val="19"/>
                <w:szCs w:val="19"/>
              </w:rPr>
              <w:t xml:space="preserve">Registration core: Registration, Appointment, Status tracking (current issues &amp; process walkthrough)</w:t>
            </w:r>
          </w:p>
        </w:tc>
        <w:tc>
          <w:tcPr>
            <w:tcW w:type="dxa" w:w="3500"/>
            <w:shd w:fill="FFFFFF" w:color="auto" w:val="clear"/>
            <w:tcMar>
              <w:top w:type="dxa" w:w="80"/>
              <w:left w:type="dxa" w:w="100"/>
              <w:bottom w:type="dxa" w:w="80"/>
              <w:right w:type="dxa" w:w="100"/>
            </w:tcMar>
            <w:vAlign w:val="center"/>
          </w:tcPr>
          <w:p>
            <w:pPr>
              <w:jc w:val="left"/>
            </w:pPr>
            <w:r>
              <w:rPr>
                <w:b w:val="false"/>
                <w:bCs w:val="false"/>
                <w:sz w:val="19"/>
                <w:szCs w:val="19"/>
              </w:rPr>
              <w:t xml:space="preserve">Kaveri IT Cell, AIGR Comp, Project Manager, Assistant Manager (CMS)</w:t>
            </w:r>
          </w:p>
        </w:tc>
      </w:tr>
      <w:tr>
        <w:tc>
          <w:tcPr>
            <w:tcW w:type="dxa" w:w="1100"/>
            <w:shd w:fill="DCE6F1" w:color="auto" w:val="clear"/>
            <w:tcMar>
              <w:top w:type="dxa" w:w="80"/>
              <w:left w:type="dxa" w:w="100"/>
              <w:bottom w:type="dxa" w:w="80"/>
              <w:right w:type="dxa" w:w="100"/>
            </w:tcMar>
            <w:vAlign w:val="center"/>
          </w:tcPr>
          <w:p>
            <w:pPr>
              <w:jc w:val="left"/>
            </w:pPr>
            <w:r>
              <w:rPr>
                <w:b w:val="false"/>
                <w:bCs w:val="false"/>
                <w:sz w:val="19"/>
                <w:szCs w:val="19"/>
              </w:rPr>
              <w:t xml:space="preserve">28-08-2026</w:t>
            </w:r>
          </w:p>
        </w:tc>
        <w:tc>
          <w:tcPr>
            <w:tcW w:type="dxa" w:w="5100"/>
            <w:shd w:fill="DCE6F1" w:color="auto" w:val="clear"/>
            <w:tcMar>
              <w:top w:type="dxa" w:w="80"/>
              <w:left w:type="dxa" w:w="100"/>
              <w:bottom w:type="dxa" w:w="80"/>
              <w:right w:type="dxa" w:w="100"/>
            </w:tcMar>
            <w:vAlign w:val="center"/>
          </w:tcPr>
          <w:p>
            <w:pPr>
              <w:jc w:val="left"/>
            </w:pPr>
            <w:r>
              <w:rPr>
                <w:b w:val="false"/>
                <w:bCs w:val="false"/>
                <w:sz w:val="19"/>
                <w:szCs w:val="19"/>
              </w:rPr>
              <w:t xml:space="preserve">Registration core (continued): SR approval workflow, slot booking, payment, calculations, summary</w:t>
            </w:r>
          </w:p>
        </w:tc>
        <w:tc>
          <w:tcPr>
            <w:tcW w:type="dxa" w:w="3500"/>
            <w:shd w:fill="DCE6F1" w:color="auto" w:val="clear"/>
            <w:tcMar>
              <w:top w:type="dxa" w:w="80"/>
              <w:left w:type="dxa" w:w="100"/>
              <w:bottom w:type="dxa" w:w="80"/>
              <w:right w:type="dxa" w:w="100"/>
            </w:tcMar>
            <w:vAlign w:val="center"/>
          </w:tcPr>
          <w:p>
            <w:pPr>
              <w:jc w:val="left"/>
            </w:pPr>
            <w:r>
              <w:rPr>
                <w:b w:val="false"/>
                <w:bCs w:val="false"/>
                <w:sz w:val="19"/>
                <w:szCs w:val="19"/>
              </w:rPr>
              <w:t xml:space="preserve">Kaveri IT Cell, AIGR Comp, Project Manager, Assistant Manager (CMS)</w:t>
            </w:r>
          </w:p>
        </w:tc>
      </w:tr>
      <w:tr>
        <w:tc>
          <w:tcPr>
            <w:tcW w:type="dxa" w:w="1100"/>
            <w:shd w:fill="FFFFFF" w:color="auto" w:val="clear"/>
            <w:tcMar>
              <w:top w:type="dxa" w:w="80"/>
              <w:left w:type="dxa" w:w="100"/>
              <w:bottom w:type="dxa" w:w="80"/>
              <w:right w:type="dxa" w:w="100"/>
            </w:tcMar>
            <w:vAlign w:val="center"/>
          </w:tcPr>
          <w:p>
            <w:pPr>
              <w:jc w:val="left"/>
            </w:pPr>
            <w:r>
              <w:rPr>
                <w:b w:val="false"/>
                <w:bCs w:val="false"/>
                <w:sz w:val="19"/>
                <w:szCs w:val="19"/>
              </w:rPr>
              <w:t xml:space="preserve">01-09-2026</w:t>
            </w:r>
          </w:p>
        </w:tc>
        <w:tc>
          <w:tcPr>
            <w:tcW w:type="dxa" w:w="5100"/>
            <w:shd w:fill="FFFFFF" w:color="auto" w:val="clear"/>
            <w:tcMar>
              <w:top w:type="dxa" w:w="80"/>
              <w:left w:type="dxa" w:w="100"/>
              <w:bottom w:type="dxa" w:w="80"/>
              <w:right w:type="dxa" w:w="100"/>
            </w:tcMar>
            <w:vAlign w:val="center"/>
          </w:tcPr>
          <w:p>
            <w:pPr>
              <w:jc w:val="left"/>
            </w:pPr>
            <w:r>
              <w:rPr>
                <w:b w:val="false"/>
                <w:bCs w:val="false"/>
                <w:sz w:val="19"/>
                <w:szCs w:val="19"/>
              </w:rPr>
              <w:t xml:space="preserve">Guideline value calculation, Valuation Module (CVC) and GIS valuation</w:t>
            </w:r>
          </w:p>
        </w:tc>
        <w:tc>
          <w:tcPr>
            <w:tcW w:type="dxa" w:w="3500"/>
            <w:shd w:fill="FFFFFF" w:color="auto" w:val="clear"/>
            <w:tcMar>
              <w:top w:type="dxa" w:w="80"/>
              <w:left w:type="dxa" w:w="100"/>
              <w:bottom w:type="dxa" w:w="80"/>
              <w:right w:type="dxa" w:w="100"/>
            </w:tcMar>
            <w:vAlign w:val="center"/>
          </w:tcPr>
          <w:p>
            <w:pPr>
              <w:jc w:val="left"/>
            </w:pPr>
            <w:r>
              <w:rPr>
                <w:b w:val="false"/>
                <w:bCs w:val="false"/>
                <w:sz w:val="19"/>
                <w:szCs w:val="19"/>
              </w:rPr>
              <w:t xml:space="preserve">Kaveri IT Cell, DIGR-Valuation</w:t>
            </w:r>
          </w:p>
        </w:tc>
      </w:tr>
      <w:tr>
        <w:tc>
          <w:tcPr>
            <w:tcW w:type="dxa" w:w="1100"/>
            <w:shd w:fill="DCE6F1" w:color="auto" w:val="clear"/>
            <w:tcMar>
              <w:top w:type="dxa" w:w="80"/>
              <w:left w:type="dxa" w:w="100"/>
              <w:bottom w:type="dxa" w:w="80"/>
              <w:right w:type="dxa" w:w="100"/>
            </w:tcMar>
            <w:vAlign w:val="center"/>
          </w:tcPr>
          <w:p>
            <w:pPr>
              <w:jc w:val="left"/>
            </w:pPr>
            <w:r>
              <w:rPr>
                <w:b w:val="false"/>
                <w:bCs w:val="false"/>
                <w:sz w:val="19"/>
                <w:szCs w:val="19"/>
              </w:rPr>
              <w:t xml:space="preserve">02-09-2026</w:t>
            </w:r>
          </w:p>
        </w:tc>
        <w:tc>
          <w:tcPr>
            <w:tcW w:type="dxa" w:w="5100"/>
            <w:shd w:fill="DCE6F1" w:color="auto" w:val="clear"/>
            <w:tcMar>
              <w:top w:type="dxa" w:w="80"/>
              <w:left w:type="dxa" w:w="100"/>
              <w:bottom w:type="dxa" w:w="80"/>
              <w:right w:type="dxa" w:w="100"/>
            </w:tcMar>
            <w:vAlign w:val="center"/>
          </w:tcPr>
          <w:p>
            <w:pPr>
              <w:jc w:val="left"/>
            </w:pPr>
            <w:r>
              <w:rPr>
                <w:b w:val="false"/>
                <w:bCs w:val="false"/>
                <w:sz w:val="19"/>
                <w:szCs w:val="19"/>
              </w:rPr>
              <w:t xml:space="preserve">Rule 17(1)/(2)/(3) filing, Old pending release module, e-filing from Govt/Institutional sources</w:t>
            </w:r>
          </w:p>
        </w:tc>
        <w:tc>
          <w:tcPr>
            <w:tcW w:type="dxa" w:w="3500"/>
            <w:shd w:fill="DCE6F1" w:color="auto" w:val="clear"/>
            <w:tcMar>
              <w:top w:type="dxa" w:w="80"/>
              <w:left w:type="dxa" w:w="100"/>
              <w:bottom w:type="dxa" w:w="80"/>
              <w:right w:type="dxa" w:w="100"/>
            </w:tcMar>
            <w:vAlign w:val="center"/>
          </w:tcPr>
          <w:p>
            <w:pPr>
              <w:jc w:val="left"/>
            </w:pPr>
            <w:r>
              <w:rPr>
                <w:b w:val="false"/>
                <w:bCs w:val="false"/>
                <w:sz w:val="19"/>
                <w:szCs w:val="19"/>
              </w:rPr>
              <w:t xml:space="preserve">Kaveri IT Cell, AIGR Computers team</w:t>
            </w:r>
          </w:p>
        </w:tc>
      </w:tr>
    </w:tbl>
    <w:p>
      <w:pPr>
        <w:pStyle w:val="Heading1"/>
        <w:pBdr>
          <w:bottom w:val="single" w:color="1F3864" w:sz="8" w:space="4"/>
        </w:pBdr>
        <w:spacing w:after="180" w:before="360"/>
      </w:pPr>
      <w:r>
        <w:rPr>
          <w:b/>
          <w:bCs/>
          <w:color w:val="1F3864"/>
        </w:rPr>
        <w:t xml:space="preserve">3. Business Process Re-Engineering by Workstream</w:t>
      </w:r>
    </w:p>
    <w:p>
      <w:pPr>
        <w:spacing w:after="160"/>
      </w:pPr>
      <w:r>
        <w:rPr>
          <w:sz w:val="21"/>
          <w:szCs w:val="21"/>
        </w:rPr>
        <w:t xml:space="preserve">Each workstream below follows the same structure: what the process does today (As-Is), the ServiceDesk evidence that shows the impact, and the recommended re-engineered process (To-Be). Ticket numbers are as cited in the source discussion notes.</w:t>
      </w:r>
    </w:p>
    <w:p>
      <w:r>
        <w:br w:type="page"/>
      </w:r>
    </w:p>
    <w:p>
      <w:pPr>
        <w:pStyle w:val="Heading1"/>
        <w:pBdr>
          <w:bottom w:val="single" w:color="1F3864" w:sz="8" w:space="4"/>
        </w:pBdr>
        <w:spacing w:after="180" w:before="360"/>
      </w:pPr>
      <w:r>
        <w:rPr>
          <w:b/>
          <w:bCs/>
          <w:color w:val="1F3864"/>
        </w:rPr>
        <w:t xml:space="preserve">3.1 Workstream A — Registration Intake &amp; Core Registration Flow</w:t>
      </w:r>
    </w:p>
    <w:p>
      <w:pPr>
        <w:spacing w:after="120"/>
      </w:pPr>
      <w:r>
        <w:rPr>
          <w:b/>
          <w:bCs/>
          <w:color w:val="2E5395"/>
          <w:sz w:val="21"/>
          <w:szCs w:val="21"/>
        </w:rPr>
        <w:t xml:space="preserve">Source discussion:  </w:t>
      </w:r>
      <w:r>
        <w:rPr>
          <w:sz w:val="21"/>
          <w:szCs w:val="21"/>
        </w:rPr>
        <w:t xml:space="preserve">27-08-2026</w:t>
      </w:r>
    </w:p>
    <w:p>
      <w:pPr>
        <w:spacing w:after="160"/>
      </w:pPr>
      <w:r>
        <w:rPr>
          <w:sz w:val="21"/>
          <w:szCs w:val="21"/>
        </w:rPr>
        <w:t xml:space="preserve">The 27-08-2026 walkthrough traced the citizen/DEO journey from document classification through valuation to final submission, and mapped each step against live ServiceDesk defects. The re-engineering intent is to replace rigid, generic form fields with context-aware, guided data capture that mirrors how the underlying Act and Rules actually classify the transaction.</w:t>
      </w:r>
    </w:p>
    <w:p>
      <w:pPr>
        <w:pStyle w:val="Heading3"/>
        <w:spacing w:after="100" w:before="220"/>
      </w:pPr>
      <w:r>
        <w:rPr>
          <w:b/>
          <w:bCs/>
          <w:color w:val="333333"/>
        </w:rPr>
        <w:t xml:space="preserve">1. Document Classification — Article/Sub-Article Selection</w:t>
      </w:r>
    </w:p>
    <w:p>
      <w:pPr>
        <w:spacing w:after="120"/>
      </w:pPr>
      <w:r>
        <w:rPr>
          <w:b/>
          <w:bCs/>
          <w:color w:val="595959"/>
          <w:sz w:val="21"/>
          <w:szCs w:val="21"/>
        </w:rPr>
        <w:t xml:space="preserve">As-Is (current state):  </w:t>
      </w:r>
      <w:r>
        <w:rPr>
          <w:sz w:val="21"/>
          <w:szCs w:val="21"/>
        </w:rPr>
        <w:t xml:space="preserve">Article and sub-article are chosen from a long, generic dropdown menu with no guidance, independent of what the citizen is actually trying to register.</w:t>
      </w:r>
    </w:p>
    <w:p>
      <w:pPr>
        <w:spacing w:after="120"/>
      </w:pPr>
      <w:r>
        <w:rPr>
          <w:b/>
          <w:bCs/>
          <w:color w:val="595959"/>
          <w:sz w:val="21"/>
          <w:szCs w:val="21"/>
        </w:rPr>
        <w:t xml:space="preserve">Evidence (ServiceDesk):  </w:t>
      </w:r>
      <w:r>
        <w:rPr>
          <w:sz w:val="21"/>
          <w:szCs w:val="21"/>
        </w:rPr>
        <w:t xml:space="preserve">Release Deed article wrongly mapped (#17714); wrong stamp duty for partition sub-article 39-b (#31257); Gift Deed stamp duty charged twice (#93306).</w:t>
      </w:r>
    </w:p>
    <w:p>
      <w:pPr>
        <w:spacing w:after="120"/>
      </w:pPr>
      <w:r>
        <w:rPr>
          <w:b/>
          <w:bCs/>
          <w:color w:val="2E5395"/>
          <w:sz w:val="21"/>
          <w:szCs w:val="21"/>
        </w:rPr>
        <w:t xml:space="preserve">To-Be (re-engineering recommendation):  </w:t>
      </w:r>
      <w:r>
        <w:rPr>
          <w:sz w:val="21"/>
          <w:szCs w:val="21"/>
        </w:rPr>
        <w:t xml:space="preserve">Replace the flat dropdown with a requirement-based, guided selection interface (a short decision flow keyed to the transaction the citizen describes) that narrows to the correct Article/Sub-Article before duty is computed, cutting misclassification at the source rather than correcting it downstream.</w:t>
      </w:r>
    </w:p>
    <w:p>
      <w:pPr>
        <w:pStyle w:val="Heading3"/>
        <w:spacing w:after="100" w:before="220"/>
      </w:pPr>
      <w:r>
        <w:rPr>
          <w:b/>
          <w:bCs/>
          <w:color w:val="333333"/>
        </w:rPr>
        <w:t xml:space="preserve">2. Village Index Selection</w:t>
      </w:r>
    </w:p>
    <w:p>
      <w:pPr>
        <w:spacing w:after="120"/>
      </w:pPr>
      <w:r>
        <w:rPr>
          <w:b/>
          <w:bCs/>
          <w:color w:val="595959"/>
          <w:sz w:val="21"/>
          <w:szCs w:val="21"/>
        </w:rPr>
        <w:t xml:space="preserve">As-Is (current state):  </w:t>
      </w:r>
      <w:r>
        <w:rPr>
          <w:sz w:val="21"/>
          <w:szCs w:val="21"/>
        </w:rPr>
        <w:t xml:space="preserve">Village/Index‑II detail is largely manual entry, with no independent check against survey or geographic data.</w:t>
      </w:r>
    </w:p>
    <w:p>
      <w:pPr>
        <w:spacing w:after="120"/>
      </w:pPr>
      <w:r>
        <w:rPr>
          <w:b/>
          <w:bCs/>
          <w:color w:val="595959"/>
          <w:sz w:val="21"/>
          <w:szCs w:val="21"/>
        </w:rPr>
        <w:t xml:space="preserve">Evidence (ServiceDesk):  </w:t>
      </w:r>
      <w:r>
        <w:rPr>
          <w:sz w:val="21"/>
          <w:szCs w:val="21"/>
        </w:rPr>
        <w:t xml:space="preserve">Village index absent or villages incorrectly split (#13949); wrong road names (#95135); road option missing for agricultural land (#31819); survey number not fetching from Bhoomi (#20170, #30045); wrong village displayed (#29600).</w:t>
      </w:r>
    </w:p>
    <w:p>
      <w:pPr>
        <w:spacing w:after="120"/>
      </w:pPr>
      <w:r>
        <w:rPr>
          <w:b/>
          <w:bCs/>
          <w:color w:val="2E5395"/>
          <w:sz w:val="21"/>
          <w:szCs w:val="21"/>
        </w:rPr>
        <w:t xml:space="preserve">To-Be (re-engineering recommendation):  </w:t>
      </w:r>
      <w:r>
        <w:rPr>
          <w:sz w:val="21"/>
          <w:szCs w:val="21"/>
        </w:rPr>
        <w:t xml:space="preserve">Evaluate and pilot geofencing for location accuracy, and integrate with KSRSAC to auto-retrieve and populate Index‑II village detail rather than free-text/manual selection.</w:t>
      </w:r>
    </w:p>
    <w:p>
      <w:pPr>
        <w:pStyle w:val="Heading3"/>
        <w:spacing w:after="100" w:before="220"/>
      </w:pPr>
      <w:r>
        <w:rPr>
          <w:b/>
          <w:bCs/>
          <w:color w:val="333333"/>
        </w:rPr>
        <w:t xml:space="preserve">3. Property Details Interface</w:t>
      </w:r>
    </w:p>
    <w:p>
      <w:pPr>
        <w:spacing w:after="120"/>
      </w:pPr>
      <w:r>
        <w:rPr>
          <w:b/>
          <w:bCs/>
          <w:color w:val="595959"/>
          <w:sz w:val="21"/>
          <w:szCs w:val="21"/>
        </w:rPr>
        <w:t xml:space="preserve">As-Is (current state):  </w:t>
      </w:r>
      <w:r>
        <w:rPr>
          <w:sz w:val="21"/>
          <w:szCs w:val="21"/>
        </w:rPr>
        <w:t xml:space="preserve">Boundary description is captured as free text ("East to West" / "North to South") for every property type, including agricultural land, and the schedule/sketch steps fail to save.</w:t>
      </w:r>
    </w:p>
    <w:p>
      <w:pPr>
        <w:spacing w:after="120"/>
      </w:pPr>
      <w:r>
        <w:rPr>
          <w:b/>
          <w:bCs/>
          <w:color w:val="595959"/>
          <w:sz w:val="21"/>
          <w:szCs w:val="21"/>
        </w:rPr>
        <w:t xml:space="preserve">Evidence (ServiceDesk):  </w:t>
      </w:r>
      <w:r>
        <w:rPr>
          <w:sz w:val="21"/>
          <w:szCs w:val="21"/>
        </w:rPr>
        <w:t xml:space="preserve">Unable to save the property schedule (#24450); unable to Save &amp; Continue after the 11E sketch (#24247); property details missing from the department summary (#95367).</w:t>
      </w:r>
    </w:p>
    <w:p>
      <w:pPr>
        <w:spacing w:after="120"/>
      </w:pPr>
      <w:r>
        <w:rPr>
          <w:b/>
          <w:bCs/>
          <w:color w:val="2E5395"/>
          <w:sz w:val="21"/>
          <w:szCs w:val="21"/>
        </w:rPr>
        <w:t xml:space="preserve">To-Be (re-engineering recommendation):  </w:t>
      </w:r>
      <w:r>
        <w:rPr>
          <w:sz w:val="21"/>
          <w:szCs w:val="21"/>
        </w:rPr>
        <w:t xml:space="preserve">Remove the East–West/North–South text fields for agricultural properties and replace boundary capture with a visual property map showing the East/West/North/South boundaries directly, reducing both data-entry error and the associated save failures.</w:t>
      </w:r>
    </w:p>
    <w:p>
      <w:pPr>
        <w:pStyle w:val="Heading3"/>
        <w:spacing w:after="100" w:before="220"/>
      </w:pPr>
      <w:r>
        <w:rPr>
          <w:b/>
          <w:bCs/>
          <w:color w:val="333333"/>
        </w:rPr>
        <w:t xml:space="preserve">4. Party Information Interface</w:t>
      </w:r>
    </w:p>
    <w:p>
      <w:pPr>
        <w:spacing w:after="120"/>
      </w:pPr>
      <w:r>
        <w:rPr>
          <w:b/>
          <w:bCs/>
          <w:color w:val="595959"/>
          <w:sz w:val="21"/>
          <w:szCs w:val="21"/>
        </w:rPr>
        <w:t xml:space="preserve">As-Is (current state):  </w:t>
      </w:r>
      <w:r>
        <w:rPr>
          <w:sz w:val="21"/>
          <w:szCs w:val="21"/>
        </w:rPr>
        <w:t xml:space="preserve">Party role labels are generic regardless of transaction type, Aadhaar OTP messaging is not service-specific, gender is entered manually, and schedule allocation is shown even where it does not apply.</w:t>
      </w:r>
    </w:p>
    <w:p>
      <w:pPr>
        <w:spacing w:after="120"/>
      </w:pPr>
      <w:r>
        <w:rPr>
          <w:b/>
          <w:bCs/>
          <w:color w:val="595959"/>
          <w:sz w:val="21"/>
          <w:szCs w:val="21"/>
        </w:rPr>
        <w:t xml:space="preserve">Evidence (ServiceDesk):  </w:t>
      </w:r>
      <w:r>
        <w:rPr>
          <w:sz w:val="21"/>
          <w:szCs w:val="21"/>
        </w:rPr>
        <w:t xml:space="preserve">Unable to save party info (#30276); claimant details missing from summary (#25784, #28927, #29588); executant name shows "None" (#22789); claimant photo appears against the executant (#27709).</w:t>
      </w:r>
    </w:p>
    <w:p>
      <w:pPr>
        <w:spacing w:after="120"/>
      </w:pPr>
      <w:r>
        <w:rPr>
          <w:b/>
          <w:bCs/>
          <w:color w:val="2E5395"/>
          <w:sz w:val="21"/>
          <w:szCs w:val="21"/>
        </w:rPr>
        <w:t xml:space="preserve">To-Be (re-engineering recommendation):  </w:t>
      </w:r>
      <w:r>
        <w:rPr>
          <w:sz w:val="21"/>
          <w:szCs w:val="21"/>
        </w:rPr>
        <w:t xml:space="preserve">Make party role labels dynamic by transaction type (e.g. "Seller/Purchaser" for sale, "Donor/Donee" for gift); deploy service-specific SMS/message templates for Aadhaar OTP; auto-populate gender from the selected salutation; and show the schedule-allocation step only for transaction types that require it.</w:t>
      </w:r>
    </w:p>
    <w:p>
      <w:pPr>
        <w:pStyle w:val="Heading3"/>
        <w:spacing w:after="100" w:before="220"/>
      </w:pPr>
      <w:r>
        <w:rPr>
          <w:b/>
          <w:bCs/>
          <w:color w:val="333333"/>
        </w:rPr>
        <w:t xml:space="preserve">5. Property Valuation</w:t>
      </w:r>
    </w:p>
    <w:p>
      <w:pPr>
        <w:spacing w:after="120"/>
      </w:pPr>
      <w:r>
        <w:rPr>
          <w:b/>
          <w:bCs/>
          <w:color w:val="595959"/>
          <w:sz w:val="21"/>
          <w:szCs w:val="21"/>
        </w:rPr>
        <w:t xml:space="preserve">As-Is (current state):  </w:t>
      </w:r>
      <w:r>
        <w:rPr>
          <w:sz w:val="21"/>
          <w:szCs w:val="21"/>
        </w:rPr>
        <w:t xml:space="preserve">Citizens are shown the raw base valuation rate directly, which is confusing, and valuation-to-fee computation is unreliable.</w:t>
      </w:r>
    </w:p>
    <w:p>
      <w:pPr>
        <w:spacing w:after="120"/>
      </w:pPr>
      <w:r>
        <w:rPr>
          <w:b/>
          <w:bCs/>
          <w:color w:val="595959"/>
          <w:sz w:val="21"/>
          <w:szCs w:val="21"/>
        </w:rPr>
        <w:t xml:space="preserve">Evidence (ServiceDesk):  </w:t>
      </w:r>
      <w:r>
        <w:rPr>
          <w:sz w:val="21"/>
          <w:szCs w:val="21"/>
        </w:rPr>
        <w:t xml:space="preserve">Market valuation blank or not shown (#29357, #29532, #27923); valuate action zeroes the fee and disables Save (#28596); fee shows zero in the summary (#26292).</w:t>
      </w:r>
    </w:p>
    <w:p>
      <w:pPr>
        <w:spacing w:after="120"/>
      </w:pPr>
      <w:r>
        <w:rPr>
          <w:b/>
          <w:bCs/>
          <w:color w:val="2E5395"/>
          <w:sz w:val="21"/>
          <w:szCs w:val="21"/>
        </w:rPr>
        <w:t xml:space="preserve">To-Be (re-engineering recommendation):  </w:t>
      </w:r>
      <w:r>
        <w:rPr>
          <w:sz w:val="21"/>
          <w:szCs w:val="21"/>
        </w:rPr>
        <w:t xml:space="preserve">Hide the base valuation rate from the citizen; capture only the property’s physical characteristics (commercial/residential, dry/wet, etc.) and let the system derive valuation and fee, with the calculation path hardened so it never returns a blank or zero result silently.</w:t>
      </w:r>
    </w:p>
    <w:p>
      <w:pPr>
        <w:pStyle w:val="Heading3"/>
        <w:spacing w:after="100" w:before="220"/>
      </w:pPr>
      <w:r>
        <w:rPr>
          <w:b/>
          <w:bCs/>
          <w:color w:val="333333"/>
        </w:rPr>
        <w:t xml:space="preserve">6. Review &amp; Submission</w:t>
      </w:r>
    </w:p>
    <w:p>
      <w:pPr>
        <w:spacing w:after="120"/>
      </w:pPr>
      <w:r>
        <w:rPr>
          <w:b/>
          <w:bCs/>
          <w:color w:val="595959"/>
          <w:sz w:val="21"/>
          <w:szCs w:val="21"/>
        </w:rPr>
        <w:t xml:space="preserve">As-Is (current state):  </w:t>
      </w:r>
      <w:r>
        <w:rPr>
          <w:sz w:val="21"/>
          <w:szCs w:val="21"/>
        </w:rPr>
        <w:t xml:space="preserve">The "Consideration Amount" label is static regardless of document type, and the pre-submission summary frequently fails to generate or shows incorrect values.</w:t>
      </w:r>
    </w:p>
    <w:p>
      <w:pPr>
        <w:spacing w:after="120"/>
      </w:pPr>
      <w:r>
        <w:rPr>
          <w:b/>
          <w:bCs/>
          <w:color w:val="595959"/>
          <w:sz w:val="21"/>
          <w:szCs w:val="21"/>
        </w:rPr>
        <w:t xml:space="preserve">Evidence (ServiceDesk):  </w:t>
      </w:r>
      <w:r>
        <w:rPr>
          <w:sz w:val="21"/>
          <w:szCs w:val="21"/>
        </w:rPr>
        <w:t xml:space="preserve">Unable to generate/view document summary (#27360, #27805, #30609, #12009); consideration/market value wrong in summary (#6187, #10531); sub-article name missing from department summary (#92782); challan missing from summary (#31168, #29793).</w:t>
      </w:r>
    </w:p>
    <w:p>
      <w:pPr>
        <w:spacing w:after="120"/>
      </w:pPr>
      <w:r>
        <w:rPr>
          <w:b/>
          <w:bCs/>
          <w:color w:val="2E5395"/>
          <w:sz w:val="21"/>
          <w:szCs w:val="21"/>
        </w:rPr>
        <w:t xml:space="preserve">To-Be (re-engineering recommendation):  </w:t>
      </w:r>
      <w:r>
        <w:rPr>
          <w:sz w:val="21"/>
          <w:szCs w:val="21"/>
        </w:rPr>
        <w:t xml:space="preserve">Make the "Consideration Amount" caption dynamic to the nature of the document, and mandate a complete, accurate document-summary preview that the applicant must review before final submission for verification.</w:t>
      </w:r>
    </w:p>
    <w:p>
      <w:r>
        <w:br w:type="page"/>
      </w:r>
    </w:p>
    <w:p>
      <w:pPr>
        <w:pStyle w:val="Heading1"/>
        <w:pBdr>
          <w:bottom w:val="single" w:color="1F3864" w:sz="8" w:space="4"/>
        </w:pBdr>
        <w:spacing w:after="180" w:before="360"/>
      </w:pPr>
      <w:r>
        <w:rPr>
          <w:b/>
          <w:bCs/>
          <w:color w:val="1F3864"/>
        </w:rPr>
        <w:t xml:space="preserve">3.2 Workstream B — Approval, Payment, Scheduling &amp; Workflow</w:t>
      </w:r>
    </w:p>
    <w:p>
      <w:pPr>
        <w:spacing w:after="120"/>
      </w:pPr>
      <w:r>
        <w:rPr>
          <w:b/>
          <w:bCs/>
          <w:color w:val="2E5395"/>
          <w:sz w:val="21"/>
          <w:szCs w:val="21"/>
        </w:rPr>
        <w:t xml:space="preserve">Source discussion:  </w:t>
      </w:r>
      <w:r>
        <w:rPr>
          <w:sz w:val="21"/>
          <w:szCs w:val="21"/>
        </w:rPr>
        <w:t xml:space="preserve">28-08-2026</w:t>
      </w:r>
    </w:p>
    <w:p>
      <w:pPr>
        <w:spacing w:after="160"/>
      </w:pPr>
      <w:r>
        <w:rPr>
          <w:sz w:val="21"/>
          <w:szCs w:val="21"/>
        </w:rPr>
        <w:t xml:space="preserve">The 28-08-2026 session moved from data capture to the operational workflow around a submitted application — SR approval, payment, slot booking, withdrawal and the summary/status screens that tie the process together. Several items (notably the under-valuation/impound workflow) were explicitly scoped to a later release rather than built immediately.</w:t>
      </w:r>
    </w:p>
    <w:p>
      <w:pPr>
        <w:pStyle w:val="Heading3"/>
        <w:spacing w:after="100" w:before="220"/>
      </w:pPr>
      <w:r>
        <w:rPr>
          <w:b/>
          <w:bCs/>
          <w:color w:val="333333"/>
        </w:rPr>
        <w:t xml:space="preserve">1. SR-Level Approval Workflow</w:t>
      </w:r>
    </w:p>
    <w:p>
      <w:pPr>
        <w:spacing w:after="120"/>
      </w:pPr>
      <w:r>
        <w:rPr>
          <w:b/>
          <w:bCs/>
          <w:color w:val="595959"/>
          <w:sz w:val="21"/>
          <w:szCs w:val="21"/>
        </w:rPr>
        <w:t xml:space="preserve">As-Is (current state):  </w:t>
      </w:r>
      <w:r>
        <w:rPr>
          <w:sz w:val="21"/>
          <w:szCs w:val="21"/>
        </w:rPr>
        <w:t xml:space="preserve">After verification, the Sub-Registrar has no clear, reliable way to route an application either to payment or back for correction.</w:t>
      </w:r>
    </w:p>
    <w:p>
      <w:pPr>
        <w:spacing w:after="120"/>
      </w:pPr>
      <w:r>
        <w:rPr>
          <w:b/>
          <w:bCs/>
          <w:color w:val="595959"/>
          <w:sz w:val="21"/>
          <w:szCs w:val="21"/>
        </w:rPr>
        <w:t xml:space="preserve">Evidence (ServiceDesk):  </w:t>
      </w:r>
      <w:r>
        <w:rPr>
          <w:sz w:val="21"/>
          <w:szCs w:val="21"/>
        </w:rPr>
        <w:t xml:space="preserve">Unable to send to citizen for payment/rectification after verification, 6 pending tickets (#94523, #92990, #92566, #88608, #83818, #31346); send does not proceed after evaluation (#30960, #31484); sent-back applications still prompt payment with amount ₹0 (#88309, #27587).</w:t>
      </w:r>
    </w:p>
    <w:p>
      <w:pPr>
        <w:spacing w:after="120"/>
      </w:pPr>
      <w:r>
        <w:rPr>
          <w:b/>
          <w:bCs/>
          <w:color w:val="2E5395"/>
          <w:sz w:val="21"/>
          <w:szCs w:val="21"/>
        </w:rPr>
        <w:t xml:space="preserve">To-Be (re-engineering recommendation):  </w:t>
      </w:r>
      <w:r>
        <w:rPr>
          <w:sz w:val="21"/>
          <w:szCs w:val="21"/>
        </w:rPr>
        <w:t xml:space="preserve">Provide two explicit action buttons at the first level of SR approval — "Send to Applicant for Payment" and "Send Back for Correction" — and suppress the payment option in the employee login whenever an application has been sent back for correction.</w:t>
      </w:r>
    </w:p>
    <w:p>
      <w:pPr>
        <w:pStyle w:val="Heading3"/>
        <w:spacing w:after="100" w:before="220"/>
      </w:pPr>
      <w:r>
        <w:rPr>
          <w:b/>
          <w:bCs/>
          <w:color w:val="333333"/>
        </w:rPr>
        <w:t xml:space="preserve">2. SRO Road Selection — Under-valuation &amp; Impound</w:t>
      </w:r>
    </w:p>
    <w:p>
      <w:pPr>
        <w:spacing w:after="120"/>
      </w:pPr>
      <w:r>
        <w:rPr>
          <w:b/>
          <w:bCs/>
          <w:color w:val="595959"/>
          <w:sz w:val="21"/>
          <w:szCs w:val="21"/>
        </w:rPr>
        <w:t xml:space="preserve">As-Is (current state):  </w:t>
      </w:r>
      <w:r>
        <w:rPr>
          <w:sz w:val="21"/>
          <w:szCs w:val="21"/>
        </w:rPr>
        <w:t xml:space="preserve">CVC guideline rates for SRO-selected roads are incomplete, and there is no built workflow for under-valuation and impounding on those roads.</w:t>
      </w:r>
    </w:p>
    <w:p>
      <w:pPr>
        <w:spacing w:after="120"/>
      </w:pPr>
      <w:r>
        <w:rPr>
          <w:b/>
          <w:bCs/>
          <w:color w:val="595959"/>
          <w:sz w:val="21"/>
          <w:szCs w:val="21"/>
        </w:rPr>
        <w:t xml:space="preserve">Evidence (ServiceDesk):  </w:t>
      </w:r>
      <w:r>
        <w:rPr>
          <w:sz w:val="21"/>
          <w:szCs w:val="21"/>
        </w:rPr>
        <w:t xml:space="preserve">CVC rates not displaying in SR/citizen login (#31481 P1, #31521); impound-related issue (#30024).</w:t>
      </w:r>
    </w:p>
    <w:p>
      <w:pPr>
        <w:spacing w:after="120"/>
      </w:pPr>
      <w:r>
        <w:rPr>
          <w:b/>
          <w:bCs/>
          <w:color w:val="2E5395"/>
          <w:sz w:val="21"/>
          <w:szCs w:val="21"/>
        </w:rPr>
        <w:t xml:space="preserve">To-Be (re-engineering recommendation):  </w:t>
      </w:r>
      <w:r>
        <w:rPr>
          <w:sz w:val="21"/>
          <w:szCs w:val="21"/>
        </w:rPr>
        <w:t xml:space="preserve">Scope and build the under-valuation and impound workflow for SRO-selected roads as a Version 3.0 deliverable — explicitly sequenced after the core registration and valuation fixes, not bundled into the current release.</w:t>
      </w:r>
    </w:p>
    <w:p>
      <w:pPr>
        <w:pStyle w:val="Heading3"/>
        <w:spacing w:after="100" w:before="220"/>
      </w:pPr>
      <w:r>
        <w:rPr>
          <w:b/>
          <w:bCs/>
          <w:color w:val="333333"/>
        </w:rPr>
        <w:t xml:space="preserve">3. Date &amp; Time Format</w:t>
      </w:r>
    </w:p>
    <w:p>
      <w:pPr>
        <w:spacing w:after="120"/>
      </w:pPr>
      <w:r>
        <w:rPr>
          <w:b/>
          <w:bCs/>
          <w:color w:val="595959"/>
          <w:sz w:val="21"/>
          <w:szCs w:val="21"/>
        </w:rPr>
        <w:t xml:space="preserve">As-Is (current state):  </w:t>
      </w:r>
      <w:r>
        <w:rPr>
          <w:sz w:val="21"/>
          <w:szCs w:val="21"/>
        </w:rPr>
        <w:t xml:space="preserve">Date/time is shown in 24-hour format throughout the citizen and office screens.</w:t>
      </w:r>
    </w:p>
    <w:p>
      <w:pPr>
        <w:spacing w:after="120"/>
      </w:pPr>
      <w:r>
        <w:rPr>
          <w:b/>
          <w:bCs/>
          <w:color w:val="595959"/>
          <w:sz w:val="21"/>
          <w:szCs w:val="21"/>
        </w:rPr>
        <w:t xml:space="preserve">Evidence (ServiceDesk):  </w:t>
      </w:r>
      <w:r>
        <w:rPr>
          <w:sz w:val="21"/>
          <w:szCs w:val="21"/>
        </w:rPr>
        <w:t xml:space="preserve">Flagged as a usability item in the walkthrough.</w:t>
      </w:r>
    </w:p>
    <w:p>
      <w:pPr>
        <w:spacing w:after="120"/>
      </w:pPr>
      <w:r>
        <w:rPr>
          <w:b/>
          <w:bCs/>
          <w:color w:val="2E5395"/>
          <w:sz w:val="21"/>
          <w:szCs w:val="21"/>
        </w:rPr>
        <w:t xml:space="preserve">To-Be (re-engineering recommendation):  </w:t>
      </w:r>
      <w:r>
        <w:rPr>
          <w:sz w:val="21"/>
          <w:szCs w:val="21"/>
        </w:rPr>
        <w:t xml:space="preserve">Change the display format from 24-hour to 12-hour across the application.</w:t>
      </w:r>
    </w:p>
    <w:p>
      <w:pPr>
        <w:pStyle w:val="Heading3"/>
        <w:spacing w:after="100" w:before="220"/>
      </w:pPr>
      <w:r>
        <w:rPr>
          <w:b/>
          <w:bCs/>
          <w:color w:val="333333"/>
        </w:rPr>
        <w:t xml:space="preserve">4. Slot Booking</w:t>
      </w:r>
    </w:p>
    <w:p>
      <w:pPr>
        <w:spacing w:after="120"/>
      </w:pPr>
      <w:r>
        <w:rPr>
          <w:b/>
          <w:bCs/>
          <w:color w:val="595959"/>
          <w:sz w:val="21"/>
          <w:szCs w:val="21"/>
        </w:rPr>
        <w:t xml:space="preserve">As-Is (current state):  </w:t>
      </w:r>
      <w:r>
        <w:rPr>
          <w:sz w:val="21"/>
          <w:szCs w:val="21"/>
        </w:rPr>
        <w:t xml:space="preserve">Appointment scheduling is unreliable and offers no premium ("Tatkal") option.</w:t>
      </w:r>
    </w:p>
    <w:p>
      <w:pPr>
        <w:spacing w:after="120"/>
      </w:pPr>
      <w:r>
        <w:rPr>
          <w:b/>
          <w:bCs/>
          <w:color w:val="595959"/>
          <w:sz w:val="21"/>
          <w:szCs w:val="21"/>
        </w:rPr>
        <w:t xml:space="preserve">Evidence (ServiceDesk):  </w:t>
      </w:r>
      <w:r>
        <w:rPr>
          <w:sz w:val="21"/>
          <w:szCs w:val="21"/>
        </w:rPr>
        <w:t xml:space="preserve">Unable to schedule appointment, including a P1 (#27283, #30478, #30908); time-slot issue (#30841); unable to reschedule (#91929); citizen still shown "pending for payment" after booking a slot post-payment (#28335).</w:t>
      </w:r>
    </w:p>
    <w:p>
      <w:pPr>
        <w:spacing w:after="120"/>
      </w:pPr>
      <w:r>
        <w:rPr>
          <w:b/>
          <w:bCs/>
          <w:color w:val="2E5395"/>
          <w:sz w:val="21"/>
          <w:szCs w:val="21"/>
        </w:rPr>
        <w:t xml:space="preserve">To-Be (re-engineering recommendation):  </w:t>
      </w:r>
      <w:r>
        <w:rPr>
          <w:sz w:val="21"/>
          <w:szCs w:val="21"/>
        </w:rPr>
        <w:t xml:space="preserve">Introduce a Tatkal slot-booking option with a percentage-based amount; define a rescheduling-with-fine provision (mechanism to be studied further); and stabilise the core scheduling flow so slot status and payment status stay in sync.</w:t>
      </w:r>
    </w:p>
    <w:p>
      <w:pPr>
        <w:pStyle w:val="Heading3"/>
        <w:spacing w:after="100" w:before="220"/>
      </w:pPr>
      <w:r>
        <w:rPr>
          <w:b/>
          <w:bCs/>
          <w:color w:val="333333"/>
        </w:rPr>
        <w:t xml:space="preserve">5. Payment Visibility</w:t>
      </w:r>
    </w:p>
    <w:p>
      <w:pPr>
        <w:spacing w:after="120"/>
      </w:pPr>
      <w:r>
        <w:rPr>
          <w:b/>
          <w:bCs/>
          <w:color w:val="595959"/>
          <w:sz w:val="21"/>
          <w:szCs w:val="21"/>
        </w:rPr>
        <w:t xml:space="preserve">As-Is (current state):  </w:t>
      </w:r>
      <w:r>
        <w:rPr>
          <w:sz w:val="21"/>
          <w:szCs w:val="21"/>
        </w:rPr>
        <w:t xml:space="preserve">Payment collected in front of the Sub-Registrar is not prominently reflected to the citizen, and payment status frequently desyncs from the actual transaction.</w:t>
      </w:r>
    </w:p>
    <w:p>
      <w:pPr>
        <w:spacing w:after="120"/>
      </w:pPr>
      <w:r>
        <w:rPr>
          <w:b/>
          <w:bCs/>
          <w:color w:val="595959"/>
          <w:sz w:val="21"/>
          <w:szCs w:val="21"/>
        </w:rPr>
        <w:t xml:space="preserve">Evidence (ServiceDesk):  </w:t>
      </w:r>
      <w:r>
        <w:rPr>
          <w:sz w:val="21"/>
          <w:szCs w:val="21"/>
        </w:rPr>
        <w:t xml:space="preserve">Unable to make payment (#29349, #29407); payment error "Something went wrong" (#94275); payment completed but still shows Make Payment/pending (#92384, #28335, #26151); payment details missing from Form 10A (#27824).</w:t>
      </w:r>
    </w:p>
    <w:p>
      <w:pPr>
        <w:spacing w:after="120"/>
      </w:pPr>
      <w:r>
        <w:rPr>
          <w:b/>
          <w:bCs/>
          <w:color w:val="2E5395"/>
          <w:sz w:val="21"/>
          <w:szCs w:val="21"/>
        </w:rPr>
        <w:t xml:space="preserve">To-Be (re-engineering recommendation):  </w:t>
      </w:r>
      <w:r>
        <w:rPr>
          <w:sz w:val="21"/>
          <w:szCs w:val="21"/>
        </w:rPr>
        <w:t xml:space="preserve">Give Sub-Registrar-collected payments a prominent, clearly labelled projection in the citizen-facing screens, and close the payment-status synchronisation defects that leave completed payments showing as pending.</w:t>
      </w:r>
    </w:p>
    <w:p>
      <w:pPr>
        <w:pStyle w:val="Heading3"/>
        <w:spacing w:after="100" w:before="220"/>
      </w:pPr>
      <w:r>
        <w:rPr>
          <w:b/>
          <w:bCs/>
          <w:color w:val="333333"/>
        </w:rPr>
        <w:t xml:space="preserve">6. Withdrawal Workflow</w:t>
      </w:r>
    </w:p>
    <w:p>
      <w:pPr>
        <w:spacing w:after="120"/>
      </w:pPr>
      <w:r>
        <w:rPr>
          <w:b/>
          <w:bCs/>
          <w:color w:val="595959"/>
          <w:sz w:val="21"/>
          <w:szCs w:val="21"/>
        </w:rPr>
        <w:t xml:space="preserve">As-Is (current state):  </w:t>
      </w:r>
      <w:r>
        <w:rPr>
          <w:sz w:val="21"/>
          <w:szCs w:val="21"/>
        </w:rPr>
        <w:t xml:space="preserve">Withdrawal from allocation-application through to DEO is inconsistent and, in places, broken.</w:t>
      </w:r>
    </w:p>
    <w:p>
      <w:pPr>
        <w:spacing w:after="120"/>
      </w:pPr>
      <w:r>
        <w:rPr>
          <w:b/>
          <w:bCs/>
          <w:color w:val="595959"/>
          <w:sz w:val="21"/>
          <w:szCs w:val="21"/>
        </w:rPr>
        <w:t xml:space="preserve">Evidence (ServiceDesk):  </w:t>
      </w:r>
      <w:r>
        <w:rPr>
          <w:sz w:val="21"/>
          <w:szCs w:val="21"/>
        </w:rPr>
        <w:t xml:space="preserve">Withdraw option unavailable for a rejected application (#93043); citizen unable to withdraw (#24685, #23807); withdrawn application still pending in DEO (#9494, #23080); withdrawal auto-generates a registration number (#8691); payment-withdrawal issue (#28630).</w:t>
      </w:r>
    </w:p>
    <w:p>
      <w:pPr>
        <w:spacing w:after="120"/>
      </w:pPr>
      <w:r>
        <w:rPr>
          <w:b/>
          <w:bCs/>
          <w:color w:val="2E5395"/>
          <w:sz w:val="21"/>
          <w:szCs w:val="21"/>
        </w:rPr>
        <w:t xml:space="preserve">To-Be (re-engineering recommendation):  </w:t>
      </w:r>
      <w:r>
        <w:rPr>
          <w:sz w:val="21"/>
          <w:szCs w:val="21"/>
        </w:rPr>
        <w:t xml:space="preserve">Simplify and formally document the withdrawal workflow from allocation-application through to DEO, so that a withdrawal reliably removes the application from the active pipeline without side effects such as an auto-generated registration number.</w:t>
      </w:r>
    </w:p>
    <w:p>
      <w:pPr>
        <w:pStyle w:val="Heading3"/>
        <w:spacing w:after="100" w:before="220"/>
      </w:pPr>
      <w:r>
        <w:rPr>
          <w:b/>
          <w:bCs/>
          <w:color w:val="333333"/>
        </w:rPr>
        <w:t xml:space="preserve">7. Application Type Naming</w:t>
      </w:r>
    </w:p>
    <w:p>
      <w:pPr>
        <w:spacing w:after="120"/>
      </w:pPr>
      <w:r>
        <w:rPr>
          <w:b/>
          <w:bCs/>
          <w:color w:val="595959"/>
          <w:sz w:val="21"/>
          <w:szCs w:val="21"/>
        </w:rPr>
        <w:t xml:space="preserve">As-Is (current state):  </w:t>
      </w:r>
      <w:r>
        <w:rPr>
          <w:sz w:val="21"/>
          <w:szCs w:val="21"/>
        </w:rPr>
        <w:t xml:space="preserve">The DEO login refers to "Application Type."</w:t>
      </w:r>
    </w:p>
    <w:p>
      <w:pPr>
        <w:spacing w:after="120"/>
      </w:pPr>
      <w:r>
        <w:rPr>
          <w:b/>
          <w:bCs/>
          <w:color w:val="595959"/>
          <w:sz w:val="21"/>
          <w:szCs w:val="21"/>
        </w:rPr>
        <w:t xml:space="preserve">Evidence (ServiceDesk):  </w:t>
      </w:r>
      <w:r>
        <w:rPr>
          <w:sz w:val="21"/>
          <w:szCs w:val="21"/>
        </w:rPr>
        <w:t xml:space="preserve">Raised as a terminology-clarity item in the walkthrough.</w:t>
      </w:r>
    </w:p>
    <w:p>
      <w:pPr>
        <w:spacing w:after="120"/>
      </w:pPr>
      <w:r>
        <w:rPr>
          <w:b/>
          <w:bCs/>
          <w:color w:val="2E5395"/>
          <w:sz w:val="21"/>
          <w:szCs w:val="21"/>
        </w:rPr>
        <w:t xml:space="preserve">To-Be (re-engineering recommendation):  </w:t>
      </w:r>
      <w:r>
        <w:rPr>
          <w:sz w:val="21"/>
          <w:szCs w:val="21"/>
        </w:rPr>
        <w:t xml:space="preserve">Rename "Application Type" to "Transaction Type" in the DEO login to match how the field is actually used.</w:t>
      </w:r>
    </w:p>
    <w:p>
      <w:pPr>
        <w:pStyle w:val="Heading3"/>
        <w:spacing w:after="100" w:before="220"/>
      </w:pPr>
      <w:r>
        <w:rPr>
          <w:b/>
          <w:bCs/>
          <w:color w:val="333333"/>
        </w:rPr>
        <w:t xml:space="preserve">8. Application Number Display</w:t>
      </w:r>
    </w:p>
    <w:p>
      <w:pPr>
        <w:spacing w:after="120"/>
      </w:pPr>
      <w:r>
        <w:rPr>
          <w:b/>
          <w:bCs/>
          <w:color w:val="595959"/>
          <w:sz w:val="21"/>
          <w:szCs w:val="21"/>
        </w:rPr>
        <w:t xml:space="preserve">As-Is (current state):  </w:t>
      </w:r>
      <w:r>
        <w:rPr>
          <w:sz w:val="21"/>
          <w:szCs w:val="21"/>
        </w:rPr>
        <w:t xml:space="preserve">The application number is not consistently visible across every stage of the flow.</w:t>
      </w:r>
    </w:p>
    <w:p>
      <w:pPr>
        <w:spacing w:after="120"/>
      </w:pPr>
      <w:r>
        <w:rPr>
          <w:b/>
          <w:bCs/>
          <w:color w:val="595959"/>
          <w:sz w:val="21"/>
          <w:szCs w:val="21"/>
        </w:rPr>
        <w:t xml:space="preserve">Evidence (ServiceDesk):  </w:t>
      </w:r>
      <w:r>
        <w:rPr>
          <w:sz w:val="21"/>
          <w:szCs w:val="21"/>
        </w:rPr>
        <w:t xml:space="preserve">Document number generated but the screen still shows DEO Step‑1 "Generate Summary" (#28388); application number/status inconsistent across logins.</w:t>
      </w:r>
    </w:p>
    <w:p>
      <w:pPr>
        <w:spacing w:after="120"/>
      </w:pPr>
      <w:r>
        <w:rPr>
          <w:b/>
          <w:bCs/>
          <w:color w:val="2E5395"/>
          <w:sz w:val="21"/>
          <w:szCs w:val="21"/>
        </w:rPr>
        <w:t xml:space="preserve">To-Be (re-engineering recommendation):  </w:t>
      </w:r>
      <w:r>
        <w:rPr>
          <w:sz w:val="21"/>
          <w:szCs w:val="21"/>
        </w:rPr>
        <w:t xml:space="preserve">Display the application number consistently at every stage of the application flow, in every login.</w:t>
      </w:r>
    </w:p>
    <w:p>
      <w:pPr>
        <w:pStyle w:val="Heading3"/>
        <w:spacing w:after="100" w:before="220"/>
      </w:pPr>
      <w:r>
        <w:rPr>
          <w:b/>
          <w:bCs/>
          <w:color w:val="333333"/>
        </w:rPr>
        <w:t xml:space="preserve">9. Calculations — Stamp Duty, Registration Fee, Guidance Value</w:t>
      </w:r>
    </w:p>
    <w:p>
      <w:pPr>
        <w:spacing w:after="120"/>
      </w:pPr>
      <w:r>
        <w:rPr>
          <w:b/>
          <w:bCs/>
          <w:color w:val="595959"/>
          <w:sz w:val="21"/>
          <w:szCs w:val="21"/>
        </w:rPr>
        <w:t xml:space="preserve">As-Is (current state):  </w:t>
      </w:r>
      <w:r>
        <w:rPr>
          <w:sz w:val="21"/>
          <w:szCs w:val="21"/>
        </w:rPr>
        <w:t xml:space="preserve">Stamp duty, registration fee and guidance value calculations fail or return incorrect results in a large number of scenarios.</w:t>
      </w:r>
    </w:p>
    <w:p>
      <w:pPr>
        <w:spacing w:after="120"/>
      </w:pPr>
      <w:r>
        <w:rPr>
          <w:b/>
          <w:bCs/>
          <w:color w:val="595959"/>
          <w:sz w:val="21"/>
          <w:szCs w:val="21"/>
        </w:rPr>
        <w:t xml:space="preserve">Evidence (ServiceDesk):  </w:t>
      </w:r>
      <w:r>
        <w:rPr>
          <w:sz w:val="21"/>
          <w:szCs w:val="21"/>
        </w:rPr>
        <w:t xml:space="preserve">Unable to calculate stamp duty &amp; registration fee (#23369); an entire fee-calculation category with 74 open tickets; wrong duty on partition/gift articles (#31257, #93306, #31130); fee zero after valuation (#28596, #26292).</w:t>
      </w:r>
    </w:p>
    <w:p>
      <w:pPr>
        <w:spacing w:after="120"/>
      </w:pPr>
      <w:r>
        <w:rPr>
          <w:b/>
          <w:bCs/>
          <w:color w:val="2E5395"/>
          <w:sz w:val="21"/>
          <w:szCs w:val="21"/>
        </w:rPr>
        <w:t xml:space="preserve">To-Be (re-engineering recommendation):  </w:t>
      </w:r>
      <w:r>
        <w:rPr>
          <w:sz w:val="21"/>
          <w:szCs w:val="21"/>
        </w:rPr>
        <w:t xml:space="preserve">Commission a detailed study of the Stamp Act provisions and the Gazette-notified valuation rules, then rebuild the calculation engine against that study. This links directly to the guideline-value re-engineering carried out on 01-09-2026 (Workstream C).</w:t>
      </w:r>
    </w:p>
    <w:p>
      <w:pPr>
        <w:pStyle w:val="Heading3"/>
        <w:spacing w:after="100" w:before="220"/>
      </w:pPr>
      <w:r>
        <w:rPr>
          <w:b/>
          <w:bCs/>
          <w:color w:val="333333"/>
        </w:rPr>
        <w:t xml:space="preserve">10. Summary</w:t>
      </w:r>
    </w:p>
    <w:p>
      <w:pPr>
        <w:spacing w:after="120"/>
      </w:pPr>
      <w:r>
        <w:rPr>
          <w:b/>
          <w:bCs/>
          <w:color w:val="595959"/>
          <w:sz w:val="21"/>
          <w:szCs w:val="21"/>
        </w:rPr>
        <w:t xml:space="preserve">As-Is (current state):  </w:t>
      </w:r>
      <w:r>
        <w:rPr>
          <w:sz w:val="21"/>
          <w:szCs w:val="21"/>
        </w:rPr>
        <w:t xml:space="preserve">The application summary is unreliable and frequently omits the document number.</w:t>
      </w:r>
    </w:p>
    <w:p>
      <w:pPr>
        <w:spacing w:after="120"/>
      </w:pPr>
      <w:r>
        <w:rPr>
          <w:b/>
          <w:bCs/>
          <w:color w:val="595959"/>
          <w:sz w:val="21"/>
          <w:szCs w:val="21"/>
        </w:rPr>
        <w:t xml:space="preserve">Evidence (ServiceDesk):  </w:t>
      </w:r>
      <w:r>
        <w:rPr>
          <w:sz w:val="21"/>
          <w:szCs w:val="21"/>
        </w:rPr>
        <w:t xml:space="preserve">Summary not generating (#27360, #27805, #30609); document number/challan/consideration missing or wrong in summary (#31168, #6187, #10531).</w:t>
      </w:r>
    </w:p>
    <w:p>
      <w:pPr>
        <w:spacing w:after="120"/>
      </w:pPr>
      <w:r>
        <w:rPr>
          <w:b/>
          <w:bCs/>
          <w:color w:val="2E5395"/>
          <w:sz w:val="21"/>
          <w:szCs w:val="21"/>
        </w:rPr>
        <w:t xml:space="preserve">To-Be (re-engineering recommendation):  </w:t>
      </w:r>
      <w:r>
        <w:rPr>
          <w:sz w:val="21"/>
          <w:szCs w:val="21"/>
        </w:rPr>
        <w:t xml:space="preserve">Rework the summary screen end-to-end and ensure the document number is always displayed on it.</w:t>
      </w:r>
    </w:p>
    <w:p>
      <w:r>
        <w:br w:type="page"/>
      </w:r>
    </w:p>
    <w:p>
      <w:pPr>
        <w:pStyle w:val="Heading1"/>
        <w:pBdr>
          <w:bottom w:val="single" w:color="1F3864" w:sz="8" w:space="4"/>
        </w:pBdr>
        <w:spacing w:after="180" w:before="360"/>
      </w:pPr>
      <w:r>
        <w:rPr>
          <w:b/>
          <w:bCs/>
          <w:color w:val="1F3864"/>
        </w:rPr>
        <w:t xml:space="preserve">3.3 Workstream C — Valuation Re-engineering: Guideline Value, CVC &amp; GIS</w:t>
      </w:r>
    </w:p>
    <w:p>
      <w:pPr>
        <w:spacing w:after="120"/>
      </w:pPr>
      <w:r>
        <w:rPr>
          <w:b/>
          <w:bCs/>
          <w:color w:val="2E5395"/>
          <w:sz w:val="21"/>
          <w:szCs w:val="21"/>
        </w:rPr>
        <w:t xml:space="preserve">Source discussion:  </w:t>
      </w:r>
      <w:r>
        <w:rPr>
          <w:sz w:val="21"/>
          <w:szCs w:val="21"/>
        </w:rPr>
        <w:t xml:space="preserve">01-09-2026</w:t>
      </w:r>
    </w:p>
    <w:p>
      <w:pPr>
        <w:spacing w:after="160"/>
      </w:pPr>
      <w:r>
        <w:rPr>
          <w:sz w:val="21"/>
          <w:szCs w:val="21"/>
        </w:rPr>
        <w:t xml:space="preserve">The 01-09-2026 session with DIGR‑Valuation re-examined guideline (market) value calculation from first principles against the Karnataka Stamp Act and the 1977 Undervaluation Rules, and produced user stories that anchor every valuation feature to a specific statutory provision. This directly supplies the "Calculations" and "Property Valuation" gaps raised in Workstreams A and B.</w:t>
      </w:r>
    </w:p>
    <w:p>
      <w:pPr>
        <w:pStyle w:val="Heading3"/>
        <w:spacing w:after="100" w:before="220"/>
      </w:pPr>
      <w:r>
        <w:rPr>
          <w:b/>
          <w:bCs/>
          <w:color w:val="333333"/>
        </w:rPr>
        <w:t xml:space="preserve">1. Guideline Value Calculation</w:t>
      </w:r>
    </w:p>
    <w:p>
      <w:pPr>
        <w:spacing w:after="120"/>
      </w:pPr>
      <w:r>
        <w:rPr>
          <w:b/>
          <w:bCs/>
          <w:color w:val="595959"/>
          <w:sz w:val="21"/>
          <w:szCs w:val="21"/>
        </w:rPr>
        <w:t xml:space="preserve">As-Is (current state):  </w:t>
      </w:r>
      <w:r>
        <w:rPr>
          <w:sz w:val="21"/>
          <w:szCs w:val="21"/>
        </w:rPr>
        <w:t xml:space="preserve">Guideline/market value is blank or wrong in many scenarios, rural properties are priced on urban (TMC/CMC) rates, small-extent parcels fail to value, and the Deputy Commissioner’s adjudicated Sec. 45-A value is not respected once set.</w:t>
      </w:r>
    </w:p>
    <w:p>
      <w:pPr>
        <w:spacing w:after="120"/>
      </w:pPr>
      <w:r>
        <w:rPr>
          <w:b/>
          <w:bCs/>
          <w:color w:val="595959"/>
          <w:sz w:val="21"/>
          <w:szCs w:val="21"/>
        </w:rPr>
        <w:t xml:space="preserve">Evidence (ServiceDesk):  </w:t>
      </w:r>
      <w:r>
        <w:rPr>
          <w:sz w:val="21"/>
          <w:szCs w:val="21"/>
        </w:rPr>
        <w:t xml:space="preserve">Market value blank on sale deed (#29357); valuation not showing (#29532); agricultural land valuation not showing (#27923); wrong market value (#31438); rural property priced at TMC/CMC rates (#29393); valuation for 1 gunta not showing (#31788); gunta/cent conversion issues (#24718, #26498, #6097); adjudicated 45-A value overridden in summary (#10531, #31773).</w:t>
      </w:r>
    </w:p>
    <w:p>
      <w:pPr>
        <w:spacing w:after="120"/>
      </w:pPr>
      <w:r>
        <w:rPr>
          <w:b/>
          <w:bCs/>
          <w:color w:val="2E5395"/>
          <w:sz w:val="21"/>
          <w:szCs w:val="21"/>
        </w:rPr>
        <w:t xml:space="preserve">To-Be (re-engineering recommendation):  </w:t>
      </w:r>
      <w:r>
        <w:rPr>
          <w:sz w:val="21"/>
          <w:szCs w:val="21"/>
        </w:rPr>
        <w:t xml:space="preserve">US-GV-01 to 05 — Compare the instrument’s consideration against the Sec. 45-B published guideline (Sub-Registrar); source guideline rates strictly from the official, revised Sec. 45-B publication; compute duty ad valorem on the correct Schedule article; capture Form I property/market-value particulars whenever a Sec. 45-A reference is opened; and require survey number/territorial description per Registration Rules 13–15 so the correct guideline rate is picked automatically.</w:t>
      </w:r>
    </w:p>
    <w:p>
      <w:pPr>
        <w:pStyle w:val="Heading3"/>
        <w:spacing w:after="100" w:before="220"/>
      </w:pPr>
      <w:r>
        <w:rPr>
          <w:b/>
          <w:bCs/>
          <w:color w:val="333333"/>
        </w:rPr>
        <w:t xml:space="preserve">2. Valuation Data Entry Module (CVC)</w:t>
      </w:r>
    </w:p>
    <w:p>
      <w:pPr>
        <w:spacing w:after="120"/>
      </w:pPr>
      <w:r>
        <w:rPr>
          <w:b/>
          <w:bCs/>
          <w:color w:val="595959"/>
          <w:sz w:val="21"/>
          <w:szCs w:val="21"/>
        </w:rPr>
        <w:t xml:space="preserve">As-Is (current state):  </w:t>
      </w:r>
      <w:r>
        <w:rPr>
          <w:sz w:val="21"/>
          <w:szCs w:val="21"/>
        </w:rPr>
        <w:t xml:space="preserve">CVC guideline rates go missing from SR and citizen logins, cannot be corrected in the citizen login, and the module fails generically, including after payment.</w:t>
      </w:r>
    </w:p>
    <w:p>
      <w:pPr>
        <w:spacing w:after="120"/>
      </w:pPr>
      <w:r>
        <w:rPr>
          <w:b/>
          <w:bCs/>
          <w:color w:val="595959"/>
          <w:sz w:val="21"/>
          <w:szCs w:val="21"/>
        </w:rPr>
        <w:t xml:space="preserve">Evidence (ServiceDesk):  </w:t>
      </w:r>
      <w:r>
        <w:rPr>
          <w:sz w:val="21"/>
          <w:szCs w:val="21"/>
        </w:rPr>
        <w:t xml:space="preserve">"Some rates are not displaying in SR login and citizen login" (#31481 P1, #31521); "Correction Rate in CVC citizen login" (#21795); generic CVC issue (#15278); payment issue after CVC (#31574 P1).</w:t>
      </w:r>
    </w:p>
    <w:p>
      <w:pPr>
        <w:spacing w:after="120"/>
      </w:pPr>
      <w:r>
        <w:rPr>
          <w:b/>
          <w:bCs/>
          <w:color w:val="2E5395"/>
          <w:sz w:val="21"/>
          <w:szCs w:val="21"/>
        </w:rPr>
        <w:t xml:space="preserve">To-Be (re-engineering recommendation):  </w:t>
      </w:r>
      <w:r>
        <w:rPr>
          <w:sz w:val="21"/>
          <w:szCs w:val="21"/>
        </w:rPr>
        <w:t xml:space="preserve">US-CVC-01 to 08 — Recognise the Central Valuation Committee as the statutory body under Sec. 2(ac); give CVC/data-entry officers a dedicated Valuation Module to enter, update and publish guideline rates for SR and citizen use; apply CVC-published guidelines at registration so duty is charged on the higher of consideration and guideline value under Sec. 45-A; surface the DR-adjudicated Sec. 45-A value instead of an automatically-higher guideline figure; and run Form I capture, DC determination and appeal strictly per the 1977 Rules (as amended by Act 8/2003 and RD 264 MUNOMU 99) so a 45-A case can be paid and released without getting stuck.</w:t>
      </w:r>
    </w:p>
    <w:p>
      <w:pPr>
        <w:pStyle w:val="Heading3"/>
        <w:spacing w:after="100" w:before="220"/>
      </w:pPr>
      <w:r>
        <w:rPr>
          <w:b/>
          <w:bCs/>
          <w:color w:val="333333"/>
        </w:rPr>
        <w:t xml:space="preserve">3. GIS Valuation</w:t>
      </w:r>
    </w:p>
    <w:p>
      <w:pPr>
        <w:spacing w:after="120"/>
      </w:pPr>
      <w:r>
        <w:rPr>
          <w:b/>
          <w:bCs/>
          <w:color w:val="595959"/>
          <w:sz w:val="21"/>
          <w:szCs w:val="21"/>
        </w:rPr>
        <w:t xml:space="preserve">As-Is (current state):  </w:t>
      </w:r>
      <w:r>
        <w:rPr>
          <w:sz w:val="21"/>
          <w:szCs w:val="21"/>
        </w:rPr>
        <w:t xml:space="preserve">Guideline value depends on village/road/survey masters that are frequently wrong or incomplete, producing blank or mismatched valuations.</w:t>
      </w:r>
    </w:p>
    <w:p>
      <w:pPr>
        <w:spacing w:after="120"/>
      </w:pPr>
      <w:r>
        <w:rPr>
          <w:b/>
          <w:bCs/>
          <w:color w:val="595959"/>
          <w:sz w:val="21"/>
          <w:szCs w:val="21"/>
        </w:rPr>
        <w:t xml:space="preserve">Evidence (ServiceDesk):  </w:t>
      </w:r>
      <w:r>
        <w:rPr>
          <w:sz w:val="21"/>
          <w:szCs w:val="21"/>
        </w:rPr>
        <w:t xml:space="preserve">Rural property valued at urban rates (#29393, categorized #93332); wrong village/road pain points shared with Workstream A (#95135, #31819, #20170, #30045, #29600).</w:t>
      </w:r>
    </w:p>
    <w:p>
      <w:pPr>
        <w:spacing w:after="120"/>
      </w:pPr>
      <w:r>
        <w:rPr>
          <w:b/>
          <w:bCs/>
          <w:color w:val="2E5395"/>
          <w:sz w:val="21"/>
          <w:szCs w:val="21"/>
        </w:rPr>
        <w:t xml:space="preserve">To-Be (re-engineering recommendation):  </w:t>
      </w:r>
      <w:r>
        <w:rPr>
          <w:sz w:val="21"/>
          <w:szCs w:val="21"/>
        </w:rPr>
        <w:t xml:space="preserve">US-GIS-01 to 03 — Treat GIS valuation as an implementation layer over CVC guideline rates, integrated with KSRSAC: locate the property on GIS and apply the matching guideline rate for that exact area (not a neighbouring village/road/urban slab); map survey number, Pot Hissa/city survey and territorial division to the GIS layer so even small extents (e.g. 1 gunta) value correctly; and keep village, road and survey masters aligned across Kaveri, CVC and KSRSAC.</w:t>
      </w:r>
    </w:p>
    <w:p>
      <w:r>
        <w:br w:type="page"/>
      </w:r>
    </w:p>
    <w:p>
      <w:pPr>
        <w:pStyle w:val="Heading1"/>
        <w:pBdr>
          <w:bottom w:val="single" w:color="1F3864" w:sz="8" w:space="4"/>
        </w:pBdr>
        <w:spacing w:after="180" w:before="360"/>
      </w:pPr>
      <w:r>
        <w:rPr>
          <w:b/>
          <w:bCs/>
          <w:color w:val="1F3864"/>
        </w:rPr>
        <w:t xml:space="preserve">3.4 Workstream D — Filing &amp; Legacy-Document Re-engineering (Rule 17, Pending Release, e-Filing)</w:t>
      </w:r>
    </w:p>
    <w:p>
      <w:pPr>
        <w:spacing w:after="120"/>
      </w:pPr>
      <w:r>
        <w:rPr>
          <w:b/>
          <w:bCs/>
          <w:color w:val="2E5395"/>
          <w:sz w:val="21"/>
          <w:szCs w:val="21"/>
        </w:rPr>
        <w:t xml:space="preserve">Source discussion:  </w:t>
      </w:r>
      <w:r>
        <w:rPr>
          <w:sz w:val="21"/>
          <w:szCs w:val="21"/>
        </w:rPr>
        <w:t xml:space="preserve">02-09-2026</w:t>
      </w:r>
    </w:p>
    <w:p>
      <w:pPr>
        <w:spacing w:after="160"/>
      </w:pPr>
      <w:r>
        <w:rPr>
          <w:sz w:val="21"/>
          <w:szCs w:val="21"/>
        </w:rPr>
        <w:t xml:space="preserve">The 02-09-2026 session dealt with the parts of registration that do not originate from a walk-in citizen deed: institutional filings under Rule 17, the large backlog of pending/legacy documents (including Kaveri‑1 migration), and electronic intake from Government/institutional sources such as FRUITS. These are re-engineered as structured, rule-mapped intake channels rather than variants of the standard citizen flow.</w:t>
      </w:r>
    </w:p>
    <w:p>
      <w:pPr>
        <w:pStyle w:val="Heading3"/>
        <w:spacing w:after="100" w:before="220"/>
      </w:pPr>
      <w:r>
        <w:rPr>
          <w:b/>
          <w:bCs/>
          <w:color w:val="333333"/>
        </w:rPr>
        <w:t xml:space="preserve">1. Rule 17(i) — Book 1 Institutional Supplements (Parts I–VI)</w:t>
      </w:r>
    </w:p>
    <w:p>
      <w:pPr>
        <w:spacing w:after="120"/>
      </w:pPr>
      <w:r>
        <w:rPr>
          <w:b/>
          <w:bCs/>
          <w:color w:val="595959"/>
          <w:sz w:val="21"/>
          <w:szCs w:val="21"/>
        </w:rPr>
        <w:t xml:space="preserve">As-Is (current state):  </w:t>
      </w:r>
      <w:r>
        <w:rPr>
          <w:sz w:val="21"/>
          <w:szCs w:val="21"/>
        </w:rPr>
        <w:t xml:space="preserve">Institutional filings (court/revenue/bank/maps/memo) are not consistently mapped to the correct Book 1 supplement part, and some parts are not clearly supported.</w:t>
      </w:r>
    </w:p>
    <w:p>
      <w:pPr>
        <w:spacing w:after="120"/>
      </w:pPr>
      <w:r>
        <w:rPr>
          <w:b/>
          <w:bCs/>
          <w:color w:val="595959"/>
          <w:sz w:val="21"/>
          <w:szCs w:val="21"/>
        </w:rPr>
        <w:t xml:space="preserve">Evidence (ServiceDesk):  </w:t>
      </w:r>
      <w:r>
        <w:rPr>
          <w:sz w:val="21"/>
          <w:szCs w:val="21"/>
        </w:rPr>
        <w:t xml:space="preserve">Rule 17 Part‑VI entry not clearly supported/mapped in Kaveri 2.0 (#16176); FRUITS/Book‑1 Part‑IV documents unable to complete digital signature (#28216); request to enable Rule 17 operation per a Special Collector order (#16501 P1).</w:t>
      </w:r>
    </w:p>
    <w:p>
      <w:pPr>
        <w:spacing w:after="120"/>
      </w:pPr>
      <w:r>
        <w:rPr>
          <w:b/>
          <w:bCs/>
          <w:color w:val="2E5395"/>
          <w:sz w:val="21"/>
          <w:szCs w:val="21"/>
        </w:rPr>
        <w:t xml:space="preserve">To-Be (re-engineering recommendation):  </w:t>
      </w:r>
      <w:r>
        <w:rPr>
          <w:sz w:val="21"/>
          <w:szCs w:val="21"/>
        </w:rPr>
        <w:t xml:space="preserve">US-17.1, US-17.2 — File court/revenue/bank/maps/memo papers into the correct Book 1 supplement part (Part I: Secs. 64–67 memoranda; Part II: Sec. 21 maps/plans; Part III: court/revenue sale certificates &amp; Land Acquisition statements; Part IV: Karnataka Land Improvement Loans Act, 1963 &amp; Agriculturists Loans Act, 1963 instruments; Part V: Sec. 85-A Land Development Bank instruments; Part VI: Court Charge Creation), so Government/Court/Bank submissions are routed and stored as institutional filings, not as ordinary citizen deeds.</w:t>
      </w:r>
    </w:p>
    <w:p>
      <w:pPr>
        <w:pStyle w:val="Heading3"/>
        <w:spacing w:after="100" w:before="220"/>
      </w:pPr>
      <w:r>
        <w:rPr>
          <w:b/>
          <w:bCs/>
          <w:color w:val="333333"/>
        </w:rPr>
        <w:t xml:space="preserve">2. Rule 17(ii) — Copies &amp; Translations</w:t>
      </w:r>
    </w:p>
    <w:p>
      <w:pPr>
        <w:spacing w:after="120"/>
      </w:pPr>
      <w:r>
        <w:rPr>
          <w:b/>
          <w:bCs/>
          <w:color w:val="595959"/>
          <w:sz w:val="21"/>
          <w:szCs w:val="21"/>
        </w:rPr>
        <w:t xml:space="preserve">As-Is (current state):  </w:t>
      </w:r>
      <w:r>
        <w:rPr>
          <w:sz w:val="21"/>
          <w:szCs w:val="21"/>
        </w:rPr>
        <w:t xml:space="preserve">No dedicated, cross-linked storage path exists for copies/translations of documents in an unfamiliar language.</w:t>
      </w:r>
    </w:p>
    <w:p>
      <w:pPr>
        <w:spacing w:after="120"/>
      </w:pPr>
      <w:r>
        <w:rPr>
          <w:b/>
          <w:bCs/>
          <w:color w:val="595959"/>
          <w:sz w:val="21"/>
          <w:szCs w:val="21"/>
        </w:rPr>
        <w:t xml:space="preserve">Evidence (ServiceDesk):  </w:t>
      </w:r>
      <w:r>
        <w:rPr>
          <w:sz w:val="21"/>
          <w:szCs w:val="21"/>
        </w:rPr>
        <w:t xml:space="preserve">Grouped under Rule 17(2) filing in the ServiceDesk categorisation.</w:t>
      </w:r>
    </w:p>
    <w:p>
      <w:pPr>
        <w:spacing w:after="120"/>
      </w:pPr>
      <w:r>
        <w:rPr>
          <w:b/>
          <w:bCs/>
          <w:color w:val="2E5395"/>
          <w:sz w:val="21"/>
          <w:szCs w:val="21"/>
        </w:rPr>
        <w:t xml:space="preserve">To-Be (re-engineering recommendation):  </w:t>
      </w:r>
      <w:r>
        <w:rPr>
          <w:sz w:val="21"/>
          <w:szCs w:val="21"/>
        </w:rPr>
        <w:t xml:space="preserve">US-17.3, US-17.4 — Accept a translation/copy under Secs. 19/62 when a document is in a language the office does not recognise, and store it as a separate Rule 17(ii) file cross-linked to the register entry for later retrieval.</w:t>
      </w:r>
    </w:p>
    <w:p>
      <w:pPr>
        <w:pStyle w:val="Heading3"/>
        <w:spacing w:after="100" w:before="220"/>
      </w:pPr>
      <w:r>
        <w:rPr>
          <w:b/>
          <w:bCs/>
          <w:color w:val="333333"/>
        </w:rPr>
        <w:t xml:space="preserve">3. Rule 17(iii) — Cancellation / Modification / Correction Communications</w:t>
      </w:r>
    </w:p>
    <w:p>
      <w:pPr>
        <w:spacing w:after="120"/>
      </w:pPr>
      <w:r>
        <w:rPr>
          <w:b/>
          <w:bCs/>
          <w:color w:val="595959"/>
          <w:sz w:val="21"/>
          <w:szCs w:val="21"/>
        </w:rPr>
        <w:t xml:space="preserve">As-Is (current state):  </w:t>
      </w:r>
      <w:r>
        <w:rPr>
          <w:sz w:val="21"/>
          <w:szCs w:val="21"/>
        </w:rPr>
        <w:t xml:space="preserve">Communications cancelling, modifying or rectifying an already-filed or registered paper cannot be reliably saved or endorsed.</w:t>
      </w:r>
    </w:p>
    <w:p>
      <w:pPr>
        <w:spacing w:after="120"/>
      </w:pPr>
      <w:r>
        <w:rPr>
          <w:b/>
          <w:bCs/>
          <w:color w:val="595959"/>
          <w:sz w:val="21"/>
          <w:szCs w:val="21"/>
        </w:rPr>
        <w:t xml:space="preserve">Evidence (ServiceDesk):  </w:t>
      </w:r>
      <w:r>
        <w:rPr>
          <w:sz w:val="21"/>
          <w:szCs w:val="21"/>
        </w:rPr>
        <w:t xml:space="preserve">"RULE 17(3) not save" (#30558); endorsement sheet not generated in DEO login, 4 tickets (#95069, #94894, #94647, #94312); "Document No. 05436/2012-13, null and void in rule 17/3" (#30223); "Filing of document as per rule 17(iii)" unclear in Kaveri 2.0 (#13048).</w:t>
      </w:r>
    </w:p>
    <w:p>
      <w:pPr>
        <w:spacing w:after="120"/>
      </w:pPr>
      <w:r>
        <w:rPr>
          <w:b/>
          <w:bCs/>
          <w:color w:val="2E5395"/>
          <w:sz w:val="21"/>
          <w:szCs w:val="21"/>
        </w:rPr>
        <w:t xml:space="preserve">To-Be (re-engineering recommendation):  </w:t>
      </w:r>
      <w:r>
        <w:rPr>
          <w:sz w:val="21"/>
          <w:szCs w:val="21"/>
        </w:rPr>
        <w:t xml:space="preserve">US-17.5, US-17.6 — Provide a structured intake for cancellation/modification/rectification communications from other departments/courts/revenue officers, filed under Rule 17(iii) and cross-linked to the original entry, with the save and endorsement-sheet defects closed.</w:t>
      </w:r>
    </w:p>
    <w:p>
      <w:pPr>
        <w:pStyle w:val="Heading3"/>
        <w:spacing w:after="100" w:before="220"/>
      </w:pPr>
      <w:r>
        <w:rPr>
          <w:b/>
          <w:bCs/>
          <w:color w:val="333333"/>
        </w:rPr>
        <w:t xml:space="preserve">4. Old Pending Release Module</w:t>
      </w:r>
    </w:p>
    <w:p>
      <w:pPr>
        <w:spacing w:after="120"/>
      </w:pPr>
      <w:r>
        <w:rPr>
          <w:b/>
          <w:bCs/>
          <w:color w:val="595959"/>
          <w:sz w:val="21"/>
          <w:szCs w:val="21"/>
        </w:rPr>
        <w:t xml:space="preserve">As-Is (current state):  </w:t>
      </w:r>
      <w:r>
        <w:rPr>
          <w:sz w:val="21"/>
          <w:szCs w:val="21"/>
        </w:rPr>
        <w:t xml:space="preserve">Legacy and part-processed documents — including those migrated from Kaveri‑1 — form the single largest defect cluster: they cannot be released, imported, or correctly routed, and downstream fee/challan generation frequently breaks.</w:t>
      </w:r>
    </w:p>
    <w:p>
      <w:pPr>
        <w:spacing w:after="120"/>
      </w:pPr>
      <w:r>
        <w:rPr>
          <w:b/>
          <w:bCs/>
          <w:color w:val="595959"/>
          <w:sz w:val="21"/>
          <w:szCs w:val="21"/>
        </w:rPr>
        <w:t xml:space="preserve">Evidence (ServiceDesk):  </w:t>
      </w:r>
      <w:r>
        <w:rPr>
          <w:sz w:val="21"/>
          <w:szCs w:val="21"/>
        </w:rPr>
        <w:t xml:space="preserve">Unable to release pending document, a large cluster (#17870, #7911, #10870, #20667, #27481, #27696, #30254, …); unable to retrieve/import Kaveri‑1 pending into Kaveri 2.0 (#11104, #11550, #26384, #30808, #24116, #29902); "No Property Details Found" (#30957); pending shown in SR Step 1 instead of Minute Book (#22599, #31762, #26982); property numbers cannot be saved after DR approval (#95370); condonation-of-delay stuck (#18075, #18302, #20097, #21145, #23198, plus a 6-ticket 45‑A/condonation cluster); Sec. 45-A undervaluation pending cannot be released, a large cluster (#13204, #14582, #28425, #31209–#31212, #30735, …); fee/challan/J‑slip broken after release (#30156, #21405, #23789, #27544, #18425); pre‑2003 pending cannot capture executant details (#31315); cannot generate application for old pending (#14577 P1); pending number missing from department summary (#92285, #90623).</w:t>
      </w:r>
    </w:p>
    <w:p>
      <w:pPr>
        <w:spacing w:after="120"/>
      </w:pPr>
      <w:r>
        <w:rPr>
          <w:b/>
          <w:bCs/>
          <w:color w:val="2E5395"/>
          <w:sz w:val="21"/>
          <w:szCs w:val="21"/>
        </w:rPr>
        <w:t xml:space="preserve">To-Be (re-engineering recommendation):  </w:t>
      </w:r>
      <w:r>
        <w:rPr>
          <w:sz w:val="21"/>
          <w:szCs w:val="21"/>
        </w:rPr>
        <w:t xml:space="preserve">Re-engineer the pending-release module end-to-end: correct the Kaveri‑1 → Kaveri 2.0/3.0 data migration and import path; route every pending item to the Minute Book (not SR Step 1 or Citizen Book Appointment); fix the DR‑approval → property‑detail‑save chain; integrate the condonation-of-delay and Sec. 45‑A release sub-workflows so a pending item can actually be released; and guarantee fee/challan/J‑slip generation immediately on release, including for pre‑2003 legacy documents.</w:t>
      </w:r>
    </w:p>
    <w:p>
      <w:pPr>
        <w:pStyle w:val="Heading3"/>
        <w:spacing w:after="100" w:before="220"/>
      </w:pPr>
      <w:r>
        <w:rPr>
          <w:b/>
          <w:bCs/>
          <w:color w:val="333333"/>
        </w:rPr>
        <w:t xml:space="preserve">5. E-filing from Government / Institutional Sources</w:t>
      </w:r>
    </w:p>
    <w:p>
      <w:pPr>
        <w:spacing w:after="120"/>
      </w:pPr>
      <w:r>
        <w:rPr>
          <w:b/>
          <w:bCs/>
          <w:color w:val="595959"/>
          <w:sz w:val="21"/>
          <w:szCs w:val="21"/>
        </w:rPr>
        <w:t xml:space="preserve">As-Is (current state):  </w:t>
      </w:r>
      <w:r>
        <w:rPr>
          <w:sz w:val="21"/>
          <w:szCs w:val="21"/>
        </w:rPr>
        <w:t xml:space="preserve">Electronic intake from FRUITS, courts and cross-office memo filing is unreliable at multiple points — visibility, jurisdiction mapping, field limits, digital signature and destination routing.</w:t>
      </w:r>
    </w:p>
    <w:p>
      <w:pPr>
        <w:spacing w:after="120"/>
      </w:pPr>
      <w:r>
        <w:rPr>
          <w:b/>
          <w:bCs/>
          <w:color w:val="595959"/>
          <w:sz w:val="21"/>
          <w:szCs w:val="21"/>
        </w:rPr>
        <w:t xml:space="preserve">Evidence (ServiceDesk):  </w:t>
      </w:r>
      <w:r>
        <w:rPr>
          <w:sz w:val="21"/>
          <w:szCs w:val="21"/>
        </w:rPr>
        <w:t xml:space="preserve">FRUITS applications not visible in SR login despite bank confirming submission (#15467, #10061); SRO code not mapped, intake fails (#24581, #25905, #27404); owner name truncated at a 100-character limit (#25107); unable to clear/complete FRUITS filing (#27622); digital sign fails on FRUITS/Book‑1 Part‑IV documents (#28216, #85981); junk FRUITS applications stuck in Step‑1 needing deletion (#22716); court entry not reflecting in citizen login (#5184); OTP/cancel-court-case failures (#94903, #93570, #95596, #93179…); wrong survey/jurisdiction after save (#29744, #43971); memo filing fails Kaveri‑1 → Kaveri 2.0 (#8354, #11076, #22543, #23933); memo not received at destination SRO or reaches the wrong location (#29153, #63230); general memo filing failures (#18566, #23172, #27438, #28251, #29096).</w:t>
      </w:r>
    </w:p>
    <w:p>
      <w:pPr>
        <w:spacing w:after="120"/>
      </w:pPr>
      <w:r>
        <w:rPr>
          <w:b/>
          <w:bCs/>
          <w:color w:val="2E5395"/>
          <w:sz w:val="21"/>
          <w:szCs w:val="21"/>
        </w:rPr>
        <w:t xml:space="preserve">To-Be (re-engineering recommendation):  </w:t>
      </w:r>
      <w:r>
        <w:rPr>
          <w:sz w:val="21"/>
          <w:szCs w:val="21"/>
        </w:rPr>
        <w:t xml:space="preserve">Rebuild the FRUITS intake-to-SR-visibility pipeline; fix SRO/jurisdiction mapping and remove the owner-name truncation limit; resolve the digital-signature blocker for FRUITS/Book‑1 Part‑IV documents; add administrative cleanup for stale/junk entries; fix court-order synchronisation and the OTP/cancellation flow; and rebuild cross-office memo filing so a memo reliably reaches the correct destination SRO under Secs. 64–67.</w:t>
      </w:r>
    </w:p>
    <w:p>
      <w:r>
        <w:br w:type="page"/>
      </w:r>
    </w:p>
    <w:p>
      <w:pPr>
        <w:pStyle w:val="Heading1"/>
        <w:pBdr>
          <w:bottom w:val="single" w:color="1F3864" w:sz="8" w:space="4"/>
        </w:pBdr>
        <w:spacing w:after="180" w:before="360"/>
      </w:pPr>
      <w:r>
        <w:rPr>
          <w:b/>
          <w:bCs/>
          <w:color w:val="1F3864"/>
        </w:rPr>
        <w:t xml:space="preserve">4. Consolidated Recommendations &amp; Phased Roadmap</w:t>
      </w:r>
    </w:p>
    <w:p>
      <w:pPr>
        <w:spacing w:after="160"/>
      </w:pPr>
      <w:r>
        <w:rPr>
          <w:sz w:val="21"/>
          <w:szCs w:val="21"/>
        </w:rPr>
        <w:t xml:space="preserve">The individual To-Be recommendations above are sequenced below into five phases. Phase 1 fixes the defects that block everything else; Phases 2–4 deliver the actual process re-engineering; Phase 5 captures the items the meetings explicitly deferred.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1F3864" w:color="auto" w:val="clear"/>
            <w:tcMar>
              <w:top w:type="dxa" w:w="80"/>
              <w:left w:type="dxa" w:w="100"/>
              <w:bottom w:type="dxa" w:w="80"/>
              <w:right w:type="dxa" w:w="100"/>
            </w:tcMar>
            <w:vAlign w:val="center"/>
          </w:tcPr>
          <w:p>
            <w:pPr>
              <w:jc w:val="left"/>
            </w:pPr>
            <w:r>
              <w:rPr>
                <w:b/>
                <w:bCs/>
                <w:color w:val="FFFFFF"/>
                <w:sz w:val="19"/>
                <w:szCs w:val="19"/>
              </w:rPr>
              <w:t xml:space="preserve">Phase</w:t>
            </w:r>
          </w:p>
        </w:tc>
        <w:tc>
          <w:tcPr>
            <w:tcW w:type="dxa" w:w="7500"/>
            <w:shd w:fill="1F3864" w:color="auto" w:val="clear"/>
            <w:tcMar>
              <w:top w:type="dxa" w:w="80"/>
              <w:left w:type="dxa" w:w="100"/>
              <w:bottom w:type="dxa" w:w="80"/>
              <w:right w:type="dxa" w:w="100"/>
            </w:tcMar>
            <w:vAlign w:val="center"/>
          </w:tcPr>
          <w:p>
            <w:pPr>
              <w:jc w:val="left"/>
            </w:pPr>
            <w:r>
              <w:rPr>
                <w:b/>
                <w:bCs/>
                <w:color w:val="FFFFFF"/>
                <w:sz w:val="19"/>
                <w:szCs w:val="19"/>
              </w:rPr>
              <w:t xml:space="preserve">Scope</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Phase 1 — Stabilise (defect closure)</w:t>
            </w:r>
          </w:p>
        </w:tc>
        <w:tc>
          <w:tcPr>
            <w:tcW w:type="dxa" w:w="7500"/>
            <w:shd w:fill="FFFFFF" w:color="auto" w:val="clear"/>
            <w:tcMar>
              <w:top w:type="dxa" w:w="80"/>
              <w:left w:type="dxa" w:w="100"/>
              <w:bottom w:type="dxa" w:w="80"/>
              <w:right w:type="dxa" w:w="100"/>
            </w:tcMar>
            <w:vAlign w:val="center"/>
          </w:tcPr>
          <w:p>
            <w:pPr>
              <w:jc w:val="left"/>
            </w:pPr>
            <w:r>
              <w:rPr>
                <w:b w:val="false"/>
                <w:bCs w:val="false"/>
                <w:sz w:val="19"/>
                <w:szCs w:val="19"/>
              </w:rPr>
              <w:t xml:space="preserve">Fix save/display failures in property schedule, party information, and valuation-to-fee calculation (Workstream A); close SR-approval routing and payment-status sync defects (Workstream B); correct CVC rate visibility and guideline-value blanks (Workstream C); fix Rule 17(iii) save/endorsement and the Kaveri‑1 pending-import path (Workstream D). These are correctness fixes to the existing process and are the precondition for every redesign below.</w:t>
            </w:r>
          </w:p>
        </w:tc>
      </w:tr>
      <w:tr>
        <w:tc>
          <w:tcPr>
            <w:tcW w:type="dxa" w:w="2200"/>
            <w:shd w:fill="DCE6F1" w:color="auto" w:val="clear"/>
            <w:tcMar>
              <w:top w:type="dxa" w:w="80"/>
              <w:left w:type="dxa" w:w="100"/>
              <w:bottom w:type="dxa" w:w="80"/>
              <w:right w:type="dxa" w:w="100"/>
            </w:tcMar>
            <w:vAlign w:val="center"/>
          </w:tcPr>
          <w:p>
            <w:pPr>
              <w:jc w:val="left"/>
            </w:pPr>
            <w:r>
              <w:rPr>
                <w:b w:val="false"/>
                <w:bCs w:val="false"/>
                <w:sz w:val="19"/>
                <w:szCs w:val="19"/>
              </w:rPr>
              <w:t xml:space="preserve">Phase 2 — Redesign core interaction</w:t>
            </w:r>
          </w:p>
        </w:tc>
        <w:tc>
          <w:tcPr>
            <w:tcW w:type="dxa" w:w="7500"/>
            <w:shd w:fill="DCE6F1" w:color="auto" w:val="clear"/>
            <w:tcMar>
              <w:top w:type="dxa" w:w="80"/>
              <w:left w:type="dxa" w:w="100"/>
              <w:bottom w:type="dxa" w:w="80"/>
              <w:right w:type="dxa" w:w="100"/>
            </w:tcMar>
            <w:vAlign w:val="center"/>
          </w:tcPr>
          <w:p>
            <w:pPr>
              <w:jc w:val="left"/>
            </w:pPr>
            <w:r>
              <w:rPr>
                <w:b w:val="false"/>
                <w:bCs w:val="false"/>
                <w:sz w:val="19"/>
                <w:szCs w:val="19"/>
              </w:rPr>
              <w:t xml:space="preserve">Guided Article/Sub-Article selection; KSRSAC-based village index and geofencing; visual boundary mapping in place of free-text fields; dynamic party-role labels and conditional scheduling; citizen-facing valuation simplification; dynamic consideration-amount caption and mandatory pre-submission summary; SR two-button approval action; 12-hour time format; "Transaction Type" renaming; consistent application-number display.</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Phase 3 — Rebuild valuation &amp; calculation engine</w:t>
            </w:r>
          </w:p>
        </w:tc>
        <w:tc>
          <w:tcPr>
            <w:tcW w:type="dxa" w:w="7500"/>
            <w:shd w:fill="FFFFFF" w:color="auto" w:val="clear"/>
            <w:tcMar>
              <w:top w:type="dxa" w:w="80"/>
              <w:left w:type="dxa" w:w="100"/>
              <w:bottom w:type="dxa" w:w="80"/>
              <w:right w:type="dxa" w:w="100"/>
            </w:tcMar>
            <w:vAlign w:val="center"/>
          </w:tcPr>
          <w:p>
            <w:pPr>
              <w:jc w:val="left"/>
            </w:pPr>
            <w:r>
              <w:rPr>
                <w:b w:val="false"/>
                <w:bCs w:val="false"/>
                <w:sz w:val="19"/>
                <w:szCs w:val="19"/>
              </w:rPr>
              <w:t xml:space="preserve">Deliver the Sec. 45-A/45-B guideline-value engine (US-GV-01–05), the CVC Valuation Module (US-CVC-01–08) and GIS/KSRSAC integration (US-GIS-01–03) as the single source of truth for stamp duty, registration fee and guidance value used everywhere in Workstreams A and B.</w:t>
            </w:r>
          </w:p>
        </w:tc>
      </w:tr>
      <w:tr>
        <w:tc>
          <w:tcPr>
            <w:tcW w:type="dxa" w:w="2200"/>
            <w:shd w:fill="DCE6F1" w:color="auto" w:val="clear"/>
            <w:tcMar>
              <w:top w:type="dxa" w:w="80"/>
              <w:left w:type="dxa" w:w="100"/>
              <w:bottom w:type="dxa" w:w="80"/>
              <w:right w:type="dxa" w:w="100"/>
            </w:tcMar>
            <w:vAlign w:val="center"/>
          </w:tcPr>
          <w:p>
            <w:pPr>
              <w:jc w:val="left"/>
            </w:pPr>
            <w:r>
              <w:rPr>
                <w:b w:val="false"/>
                <w:bCs w:val="false"/>
                <w:sz w:val="19"/>
                <w:szCs w:val="19"/>
              </w:rPr>
              <w:t xml:space="preserve">Phase 4 — Re-engineer filing &amp; legacy pending release</w:t>
            </w:r>
          </w:p>
        </w:tc>
        <w:tc>
          <w:tcPr>
            <w:tcW w:type="dxa" w:w="7500"/>
            <w:shd w:fill="DCE6F1" w:color="auto" w:val="clear"/>
            <w:tcMar>
              <w:top w:type="dxa" w:w="80"/>
              <w:left w:type="dxa" w:w="100"/>
              <w:bottom w:type="dxa" w:w="80"/>
              <w:right w:type="dxa" w:w="100"/>
            </w:tcMar>
            <w:vAlign w:val="center"/>
          </w:tcPr>
          <w:p>
            <w:pPr>
              <w:jc w:val="left"/>
            </w:pPr>
            <w:r>
              <w:rPr>
                <w:b w:val="false"/>
                <w:bCs w:val="false"/>
                <w:sz w:val="19"/>
                <w:szCs w:val="19"/>
              </w:rPr>
              <w:t xml:space="preserve">Structured Rule 17(i)–(iii) filing by category, cross-linked institutional intake; full re-engineering of the old pending-release module (Kaveri‑1 import, Minute Book routing, DR-approval save chain, condonation/45-A release, fee/challan/J-slip generation); rebuilt FRUITS/court/memo e-filing pipeline.</w:t>
            </w:r>
          </w:p>
        </w:tc>
      </w:tr>
      <w:tr>
        <w:tc>
          <w:tcPr>
            <w:tcW w:type="dxa" w:w="2200"/>
            <w:shd w:fill="FFFFFF" w:color="auto" w:val="clear"/>
            <w:tcMar>
              <w:top w:type="dxa" w:w="80"/>
              <w:left w:type="dxa" w:w="100"/>
              <w:bottom w:type="dxa" w:w="80"/>
              <w:right w:type="dxa" w:w="100"/>
            </w:tcMar>
            <w:vAlign w:val="center"/>
          </w:tcPr>
          <w:p>
            <w:pPr>
              <w:jc w:val="left"/>
            </w:pPr>
            <w:r>
              <w:rPr>
                <w:b w:val="false"/>
                <w:bCs w:val="false"/>
                <w:sz w:val="19"/>
                <w:szCs w:val="19"/>
              </w:rPr>
              <w:t xml:space="preserve">Phase 5 — Version 3.0 scope</w:t>
            </w:r>
          </w:p>
        </w:tc>
        <w:tc>
          <w:tcPr>
            <w:tcW w:type="dxa" w:w="7500"/>
            <w:shd w:fill="FFFFFF" w:color="auto" w:val="clear"/>
            <w:tcMar>
              <w:top w:type="dxa" w:w="80"/>
              <w:left w:type="dxa" w:w="100"/>
              <w:bottom w:type="dxa" w:w="80"/>
              <w:right w:type="dxa" w:w="100"/>
            </w:tcMar>
            <w:vAlign w:val="center"/>
          </w:tcPr>
          <w:p>
            <w:pPr>
              <w:jc w:val="left"/>
            </w:pPr>
            <w:r>
              <w:rPr>
                <w:b w:val="false"/>
                <w:bCs w:val="false"/>
                <w:sz w:val="19"/>
                <w:szCs w:val="19"/>
              </w:rPr>
              <w:t xml:space="preserve">Under-valuation and impound workflow for SRO-selected roads (explicitly deferred on 28-08-2026); rescheduling-with-fine mechanism, pending the further study noted above.</w:t>
            </w:r>
          </w:p>
        </w:tc>
      </w:tr>
    </w:tbl>
    <w:p>
      <w:r>
        <w:br w:type="page"/>
      </w:r>
    </w:p>
    <w:p>
      <w:pPr>
        <w:pStyle w:val="Heading1"/>
        <w:pBdr>
          <w:bottom w:val="single" w:color="1F3864" w:sz="8" w:space="4"/>
        </w:pBdr>
        <w:spacing w:after="180" w:before="360"/>
      </w:pPr>
      <w:r>
        <w:rPr>
          <w:b/>
          <w:bCs/>
          <w:color w:val="1F3864"/>
        </w:rPr>
        <w:t xml:space="preserve">5. Legal &amp; Regulatory Reference Matrix</w:t>
      </w:r>
    </w:p>
    <w:p>
      <w:pPr>
        <w:spacing w:after="160"/>
      </w:pPr>
      <w:r>
        <w:rPr>
          <w:sz w:val="21"/>
          <w:szCs w:val="21"/>
        </w:rPr>
        <w:t xml:space="preserve">Consolidated from the Acts/Rules/notifications tables in all four source discussion notes, de-duplicated. This matrix is the legal basis referenced throughout Section 3 and should be validated with AIGR/Law before the corresponding screens are built.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500"/>
      </w:tblGrid>
      <w:tr>
        <w:trPr>
          <w:tblHeader/>
        </w:trPr>
        <w:tc>
          <w:tcPr>
            <w:tcW w:type="dxa" w:w="2800"/>
            <w:shd w:fill="1F3864" w:color="auto" w:val="clear"/>
            <w:tcMar>
              <w:top w:type="dxa" w:w="80"/>
              <w:left w:type="dxa" w:w="100"/>
              <w:bottom w:type="dxa" w:w="80"/>
              <w:right w:type="dxa" w:w="100"/>
            </w:tcMar>
            <w:vAlign w:val="center"/>
          </w:tcPr>
          <w:p>
            <w:pPr>
              <w:jc w:val="left"/>
            </w:pPr>
            <w:r>
              <w:rPr>
                <w:b/>
                <w:bCs/>
                <w:color w:val="FFFFFF"/>
                <w:sz w:val="19"/>
                <w:szCs w:val="19"/>
              </w:rPr>
              <w:t xml:space="preserve">Act / Rule / Notification</w:t>
            </w:r>
          </w:p>
        </w:tc>
        <w:tc>
          <w:tcPr>
            <w:tcW w:type="dxa" w:w="2400"/>
            <w:shd w:fill="1F3864" w:color="auto" w:val="clear"/>
            <w:tcMar>
              <w:top w:type="dxa" w:w="80"/>
              <w:left w:type="dxa" w:w="100"/>
              <w:bottom w:type="dxa" w:w="80"/>
              <w:right w:type="dxa" w:w="100"/>
            </w:tcMar>
            <w:vAlign w:val="center"/>
          </w:tcPr>
          <w:p>
            <w:pPr>
              <w:jc w:val="left"/>
            </w:pPr>
            <w:r>
              <w:rPr>
                <w:b/>
                <w:bCs/>
                <w:color w:val="FFFFFF"/>
                <w:sz w:val="19"/>
                <w:szCs w:val="19"/>
              </w:rPr>
              <w:t xml:space="preserve">Sections / Provisions</w:t>
            </w:r>
          </w:p>
        </w:tc>
        <w:tc>
          <w:tcPr>
            <w:tcW w:type="dxa" w:w="4500"/>
            <w:shd w:fill="1F3864" w:color="auto" w:val="clear"/>
            <w:tcMar>
              <w:top w:type="dxa" w:w="80"/>
              <w:left w:type="dxa" w:w="100"/>
              <w:bottom w:type="dxa" w:w="80"/>
              <w:right w:type="dxa" w:w="100"/>
            </w:tcMar>
            <w:vAlign w:val="center"/>
          </w:tcPr>
          <w:p>
            <w:pPr>
              <w:jc w:val="left"/>
            </w:pPr>
            <w:r>
              <w:rPr>
                <w:b/>
                <w:bCs/>
                <w:color w:val="FFFFFF"/>
                <w:sz w:val="19"/>
                <w:szCs w:val="19"/>
              </w:rPr>
              <w:t xml:space="preserve">Relevance</w:t>
            </w:r>
          </w:p>
        </w:tc>
      </w:tr>
      <w:tr>
        <w:tc>
          <w:tcPr>
            <w:tcW w:type="dxa" w:w="2800"/>
            <w:shd w:fill="FFFFFF" w:color="auto" w:val="clear"/>
            <w:tcMar>
              <w:top w:type="dxa" w:w="80"/>
              <w:left w:type="dxa" w:w="100"/>
              <w:bottom w:type="dxa" w:w="80"/>
              <w:right w:type="dxa" w:w="100"/>
            </w:tcMar>
            <w:vAlign w:val="center"/>
          </w:tcPr>
          <w:p>
            <w:pPr>
              <w:jc w:val="left"/>
            </w:pPr>
            <w:r>
              <w:rPr>
                <w:b w:val="false"/>
                <w:bCs w:val="false"/>
                <w:sz w:val="19"/>
                <w:szCs w:val="19"/>
              </w:rPr>
              <w:t xml:space="preserve">The Registration Act, 1908 (Central Act 16 of 1908)</w:t>
            </w:r>
          </w:p>
        </w:tc>
        <w:tc>
          <w:tcPr>
            <w:tcW w:type="dxa" w:w="2400"/>
            <w:shd w:fill="FFFFFF" w:color="auto" w:val="clear"/>
            <w:tcMar>
              <w:top w:type="dxa" w:w="80"/>
              <w:left w:type="dxa" w:w="100"/>
              <w:bottom w:type="dxa" w:w="80"/>
              <w:right w:type="dxa" w:w="100"/>
            </w:tcMar>
            <w:vAlign w:val="center"/>
          </w:tcPr>
          <w:p>
            <w:pPr>
              <w:jc w:val="left"/>
            </w:pPr>
            <w:r>
              <w:rPr>
                <w:b w:val="false"/>
                <w:bCs w:val="false"/>
                <w:sz w:val="19"/>
                <w:szCs w:val="19"/>
              </w:rPr>
              <w:t xml:space="preserve">Secs. 5–7, 10–12, 17–25, 28–35, 51–52, 58–61, 64–67, 71–78, 88–91</w:t>
            </w:r>
          </w:p>
        </w:tc>
        <w:tc>
          <w:tcPr>
            <w:tcW w:type="dxa" w:w="4500"/>
            <w:shd w:fill="FFFFFF" w:color="auto" w:val="clear"/>
            <w:tcMar>
              <w:top w:type="dxa" w:w="80"/>
              <w:left w:type="dxa" w:w="100"/>
              <w:bottom w:type="dxa" w:w="80"/>
              <w:right w:type="dxa" w:w="100"/>
            </w:tcMar>
            <w:vAlign w:val="center"/>
          </w:tcPr>
          <w:p>
            <w:pPr>
              <w:jc w:val="left"/>
            </w:pPr>
            <w:r>
              <w:rPr>
                <w:b w:val="false"/>
                <w:bCs w:val="false"/>
                <w:sz w:val="19"/>
                <w:szCs w:val="19"/>
              </w:rPr>
              <w:t xml:space="preserve">Compulsory/optional registration, jurisdiction, presentation, examination, endorsements, refusal/appeal, fees, institutional filing, exemptions — core Registration, Appointment, Status tracking and Rule 17 filing</w:t>
            </w:r>
          </w:p>
        </w:tc>
      </w:tr>
      <w:tr>
        <w:tc>
          <w:tcPr>
            <w:tcW w:type="dxa" w:w="2800"/>
            <w:shd w:fill="DCE6F1" w:color="auto" w:val="clear"/>
            <w:tcMar>
              <w:top w:type="dxa" w:w="80"/>
              <w:left w:type="dxa" w:w="100"/>
              <w:bottom w:type="dxa" w:w="80"/>
              <w:right w:type="dxa" w:w="100"/>
            </w:tcMar>
            <w:vAlign w:val="center"/>
          </w:tcPr>
          <w:p>
            <w:pPr>
              <w:jc w:val="left"/>
            </w:pPr>
            <w:r>
              <w:rPr>
                <w:b w:val="false"/>
                <w:bCs w:val="false"/>
                <w:sz w:val="19"/>
                <w:szCs w:val="19"/>
              </w:rPr>
              <w:t xml:space="preserve">The Registration (Karnataka Amendment) Act, 2023 (Karnataka Act 47 of 2024)</w:t>
            </w:r>
          </w:p>
        </w:tc>
        <w:tc>
          <w:tcPr>
            <w:tcW w:type="dxa" w:w="2400"/>
            <w:shd w:fill="DCE6F1" w:color="auto" w:val="clear"/>
            <w:tcMar>
              <w:top w:type="dxa" w:w="80"/>
              <w:left w:type="dxa" w:w="100"/>
              <w:bottom w:type="dxa" w:w="80"/>
              <w:right w:type="dxa" w:w="100"/>
            </w:tcMar>
            <w:vAlign w:val="center"/>
          </w:tcPr>
          <w:p>
            <w:pPr>
              <w:jc w:val="left"/>
            </w:pPr>
            <w:r>
              <w:rPr>
                <w:b w:val="false"/>
                <w:bCs w:val="false"/>
                <w:sz w:val="19"/>
                <w:szCs w:val="19"/>
              </w:rPr>
              <w:t xml:space="preserve">Secs. 22-B, 22-C, 22-D, 81-A, 81-B</w:t>
            </w:r>
          </w:p>
        </w:tc>
        <w:tc>
          <w:tcPr>
            <w:tcW w:type="dxa" w:w="4500"/>
            <w:shd w:fill="DCE6F1" w:color="auto" w:val="clear"/>
            <w:tcMar>
              <w:top w:type="dxa" w:w="80"/>
              <w:left w:type="dxa" w:w="100"/>
              <w:bottom w:type="dxa" w:w="80"/>
              <w:right w:type="dxa" w:w="100"/>
            </w:tcMar>
            <w:vAlign w:val="center"/>
          </w:tcPr>
          <w:p>
            <w:pPr>
              <w:jc w:val="left"/>
            </w:pPr>
            <w:r>
              <w:rPr>
                <w:b w:val="false"/>
                <w:bCs w:val="false"/>
                <w:sz w:val="19"/>
                <w:szCs w:val="19"/>
              </w:rPr>
              <w:t xml:space="preserve">Refusal/cancellation of forged or prohibited documents, appeal, penalties — intake validation and Rule 17(iii) communications</w:t>
            </w:r>
          </w:p>
        </w:tc>
      </w:tr>
      <w:tr>
        <w:tc>
          <w:tcPr>
            <w:tcW w:type="dxa" w:w="2800"/>
            <w:shd w:fill="FFFFFF" w:color="auto" w:val="clear"/>
            <w:tcMar>
              <w:top w:type="dxa" w:w="80"/>
              <w:left w:type="dxa" w:w="100"/>
              <w:bottom w:type="dxa" w:w="80"/>
              <w:right w:type="dxa" w:w="100"/>
            </w:tcMar>
            <w:vAlign w:val="center"/>
          </w:tcPr>
          <w:p>
            <w:pPr>
              <w:jc w:val="left"/>
            </w:pPr>
            <w:r>
              <w:rPr>
                <w:b w:val="false"/>
                <w:bCs w:val="false"/>
                <w:sz w:val="19"/>
                <w:szCs w:val="19"/>
              </w:rPr>
              <w:t xml:space="preserve">The Karnataka Stamp Act, 1957</w:t>
            </w:r>
          </w:p>
        </w:tc>
        <w:tc>
          <w:tcPr>
            <w:tcW w:type="dxa" w:w="2400"/>
            <w:shd w:fill="FFFFFF" w:color="auto" w:val="clear"/>
            <w:tcMar>
              <w:top w:type="dxa" w:w="80"/>
              <w:left w:type="dxa" w:w="100"/>
              <w:bottom w:type="dxa" w:w="80"/>
              <w:right w:type="dxa" w:w="100"/>
            </w:tcMar>
            <w:vAlign w:val="center"/>
          </w:tcPr>
          <w:p>
            <w:pPr>
              <w:jc w:val="left"/>
            </w:pPr>
            <w:r>
              <w:rPr>
                <w:b w:val="false"/>
                <w:bCs w:val="false"/>
                <w:sz w:val="19"/>
                <w:szCs w:val="19"/>
              </w:rPr>
              <w:t xml:space="preserve">Secs. 2(ac), 3, 10, 33–39, 45-A, 45-B, Schedule</w:t>
            </w:r>
          </w:p>
        </w:tc>
        <w:tc>
          <w:tcPr>
            <w:tcW w:type="dxa" w:w="4500"/>
            <w:shd w:fill="FFFFFF" w:color="auto" w:val="clear"/>
            <w:tcMar>
              <w:top w:type="dxa" w:w="80"/>
              <w:left w:type="dxa" w:w="100"/>
              <w:bottom w:type="dxa" w:w="80"/>
              <w:right w:type="dxa" w:w="100"/>
            </w:tcMar>
            <w:vAlign w:val="center"/>
          </w:tcPr>
          <w:p>
            <w:pPr>
              <w:jc w:val="left"/>
            </w:pPr>
            <w:r>
              <w:rPr>
                <w:b w:val="false"/>
                <w:bCs w:val="false"/>
                <w:sz w:val="19"/>
                <w:szCs w:val="19"/>
              </w:rPr>
              <w:t xml:space="preserve">Stamp duty chargeability, payment modes, impounding, Central Valuation Committee, guideline value, undervaluation reference</w:t>
            </w:r>
          </w:p>
        </w:tc>
      </w:tr>
      <w:tr>
        <w:tc>
          <w:tcPr>
            <w:tcW w:type="dxa" w:w="2800"/>
            <w:shd w:fill="DCE6F1" w:color="auto" w:val="clear"/>
            <w:tcMar>
              <w:top w:type="dxa" w:w="80"/>
              <w:left w:type="dxa" w:w="100"/>
              <w:bottom w:type="dxa" w:w="80"/>
              <w:right w:type="dxa" w:w="100"/>
            </w:tcMar>
            <w:vAlign w:val="center"/>
          </w:tcPr>
          <w:p>
            <w:pPr>
              <w:jc w:val="left"/>
            </w:pPr>
            <w:r>
              <w:rPr>
                <w:b w:val="false"/>
                <w:bCs w:val="false"/>
                <w:sz w:val="19"/>
                <w:szCs w:val="19"/>
              </w:rPr>
              <w:t xml:space="preserve">The Transfer of Property Act, 1882</w:t>
            </w:r>
          </w:p>
        </w:tc>
        <w:tc>
          <w:tcPr>
            <w:tcW w:type="dxa" w:w="2400"/>
            <w:shd w:fill="DCE6F1" w:color="auto" w:val="clear"/>
            <w:tcMar>
              <w:top w:type="dxa" w:w="80"/>
              <w:left w:type="dxa" w:w="100"/>
              <w:bottom w:type="dxa" w:w="80"/>
              <w:right w:type="dxa" w:w="100"/>
            </w:tcMar>
            <w:vAlign w:val="center"/>
          </w:tcPr>
          <w:p>
            <w:pPr>
              <w:jc w:val="left"/>
            </w:pPr>
            <w:r>
              <w:rPr>
                <w:b w:val="false"/>
                <w:bCs w:val="false"/>
                <w:sz w:val="19"/>
                <w:szCs w:val="19"/>
              </w:rPr>
              <w:t xml:space="preserve">Sec. 54</w:t>
            </w:r>
          </w:p>
        </w:tc>
        <w:tc>
          <w:tcPr>
            <w:tcW w:type="dxa" w:w="4500"/>
            <w:shd w:fill="DCE6F1" w:color="auto" w:val="clear"/>
            <w:tcMar>
              <w:top w:type="dxa" w:w="80"/>
              <w:left w:type="dxa" w:w="100"/>
              <w:bottom w:type="dxa" w:w="80"/>
              <w:right w:type="dxa" w:w="100"/>
            </w:tcMar>
            <w:vAlign w:val="center"/>
          </w:tcPr>
          <w:p>
            <w:pPr>
              <w:jc w:val="left"/>
            </w:pPr>
            <w:r>
              <w:rPr>
                <w:b w:val="false"/>
                <w:bCs w:val="false"/>
                <w:sz w:val="19"/>
                <w:szCs w:val="19"/>
              </w:rPr>
              <w:t xml:space="preserve">Sale of immovable property of value &gt; ₹100 requires a registered instrument — drives Article/transaction-type selection</w:t>
            </w:r>
          </w:p>
        </w:tc>
      </w:tr>
      <w:tr>
        <w:tc>
          <w:tcPr>
            <w:tcW w:type="dxa" w:w="2800"/>
            <w:shd w:fill="FFFFFF" w:color="auto" w:val="clear"/>
            <w:tcMar>
              <w:top w:type="dxa" w:w="80"/>
              <w:left w:type="dxa" w:w="100"/>
              <w:bottom w:type="dxa" w:w="80"/>
              <w:right w:type="dxa" w:w="100"/>
            </w:tcMar>
            <w:vAlign w:val="center"/>
          </w:tcPr>
          <w:p>
            <w:pPr>
              <w:jc w:val="left"/>
            </w:pPr>
            <w:r>
              <w:rPr>
                <w:b w:val="false"/>
                <w:bCs w:val="false"/>
                <w:sz w:val="19"/>
                <w:szCs w:val="19"/>
              </w:rPr>
              <w:t xml:space="preserve">Land Acquisition Act; Karnataka Land Improvement Loans Act, 1963; Karnataka Agriculturists Loans Act, 1963; Karnataka Co-operative Societies Act, 1959 (Sec. 85-A)</w:t>
            </w:r>
          </w:p>
        </w:tc>
        <w:tc>
          <w:tcPr>
            <w:tcW w:type="dxa" w:w="2400"/>
            <w:shd w:fill="FFFFFF" w:color="auto" w:val="clear"/>
            <w:tcMar>
              <w:top w:type="dxa" w:w="80"/>
              <w:left w:type="dxa" w:w="100"/>
              <w:bottom w:type="dxa" w:w="80"/>
              <w:right w:type="dxa" w:w="100"/>
            </w:tcMar>
            <w:vAlign w:val="center"/>
          </w:tcPr>
          <w:p>
            <w:pPr>
              <w:jc w:val="left"/>
            </w:pPr>
            <w:r>
              <w:rPr>
                <w:b w:val="false"/>
                <w:bCs w:val="false"/>
                <w:sz w:val="19"/>
                <w:szCs w:val="19"/>
              </w:rPr>
              <w:t xml:space="preserve">Source statutes for Rule 17(i) Parts III–V</w:t>
            </w:r>
          </w:p>
        </w:tc>
        <w:tc>
          <w:tcPr>
            <w:tcW w:type="dxa" w:w="4500"/>
            <w:shd w:fill="FFFFFF" w:color="auto" w:val="clear"/>
            <w:tcMar>
              <w:top w:type="dxa" w:w="80"/>
              <w:left w:type="dxa" w:w="100"/>
              <w:bottom w:type="dxa" w:w="80"/>
              <w:right w:type="dxa" w:w="100"/>
            </w:tcMar>
            <w:vAlign w:val="center"/>
          </w:tcPr>
          <w:p>
            <w:pPr>
              <w:jc w:val="left"/>
            </w:pPr>
            <w:r>
              <w:rPr>
                <w:b w:val="false"/>
                <w:bCs w:val="false"/>
                <w:sz w:val="19"/>
                <w:szCs w:val="19"/>
              </w:rPr>
              <w:t xml:space="preserve">Instruments filed into Book 1 supplements by Government/Court/Bank/Revenue offices</w:t>
            </w:r>
          </w:p>
        </w:tc>
      </w:tr>
      <w:tr>
        <w:tc>
          <w:tcPr>
            <w:tcW w:type="dxa" w:w="2800"/>
            <w:shd w:fill="DCE6F1" w:color="auto" w:val="clear"/>
            <w:tcMar>
              <w:top w:type="dxa" w:w="80"/>
              <w:left w:type="dxa" w:w="100"/>
              <w:bottom w:type="dxa" w:w="80"/>
              <w:right w:type="dxa" w:w="100"/>
            </w:tcMar>
            <w:vAlign w:val="center"/>
          </w:tcPr>
          <w:p>
            <w:pPr>
              <w:jc w:val="left"/>
            </w:pPr>
            <w:r>
              <w:rPr>
                <w:b w:val="false"/>
                <w:bCs w:val="false"/>
                <w:sz w:val="19"/>
                <w:szCs w:val="19"/>
              </w:rPr>
              <w:t xml:space="preserve">Karnataka Registration Rules, 1965</w:t>
            </w:r>
          </w:p>
        </w:tc>
        <w:tc>
          <w:tcPr>
            <w:tcW w:type="dxa" w:w="2400"/>
            <w:shd w:fill="DCE6F1" w:color="auto" w:val="clear"/>
            <w:tcMar>
              <w:top w:type="dxa" w:w="80"/>
              <w:left w:type="dxa" w:w="100"/>
              <w:bottom w:type="dxa" w:w="80"/>
              <w:right w:type="dxa" w:w="100"/>
            </w:tcMar>
            <w:vAlign w:val="center"/>
          </w:tcPr>
          <w:p>
            <w:pPr>
              <w:jc w:val="left"/>
            </w:pPr>
            <w:r>
              <w:rPr>
                <w:b w:val="false"/>
                <w:bCs w:val="false"/>
                <w:sz w:val="19"/>
                <w:szCs w:val="19"/>
              </w:rPr>
              <w:t xml:space="preserve">Ch. II (Rules 3, 5); Ch. VI (Rules 13–15); Ch. IX (Rules 37, 40–46, 51–55); Ch. XII/XVI (Rules 71–73, 78–79, 94, 104); Ch. XVII/XXV (Rules 110–118, 175–188); Rules 17, 23, 24, 40–45, 116</w:t>
            </w:r>
          </w:p>
        </w:tc>
        <w:tc>
          <w:tcPr>
            <w:tcW w:type="dxa" w:w="4500"/>
            <w:shd w:fill="DCE6F1" w:color="auto" w:val="clear"/>
            <w:tcMar>
              <w:top w:type="dxa" w:w="80"/>
              <w:left w:type="dxa" w:w="100"/>
              <w:bottom w:type="dxa" w:w="80"/>
              <w:right w:type="dxa" w:w="100"/>
            </w:tcMar>
            <w:vAlign w:val="center"/>
          </w:tcPr>
          <w:p>
            <w:pPr>
              <w:jc w:val="left"/>
            </w:pPr>
            <w:r>
              <w:rPr>
                <w:b w:val="false"/>
                <w:bCs w:val="false"/>
                <w:sz w:val="19"/>
                <w:szCs w:val="19"/>
              </w:rPr>
              <w:t xml:space="preserve">Office hours &amp; calendar; territorial/survey description; presentation &amp; examination; executant verification &amp; Sec. 60 certificate; receipts, return, appeal; Rule 17 filing categories; Minute Book, Daily Register; suspension/condonation; pending release</w:t>
            </w:r>
          </w:p>
        </w:tc>
      </w:tr>
      <w:tr>
        <w:tc>
          <w:tcPr>
            <w:tcW w:type="dxa" w:w="2800"/>
            <w:shd w:fill="FFFFFF" w:color="auto" w:val="clear"/>
            <w:tcMar>
              <w:top w:type="dxa" w:w="80"/>
              <w:left w:type="dxa" w:w="100"/>
              <w:bottom w:type="dxa" w:w="80"/>
              <w:right w:type="dxa" w:w="100"/>
            </w:tcMar>
            <w:vAlign w:val="center"/>
          </w:tcPr>
          <w:p>
            <w:pPr>
              <w:jc w:val="left"/>
            </w:pPr>
            <w:r>
              <w:rPr>
                <w:b w:val="false"/>
                <w:bCs w:val="false"/>
                <w:sz w:val="19"/>
                <w:szCs w:val="19"/>
              </w:rPr>
              <w:t xml:space="preserve">Karnataka Stamp Rules, 1958 / Karnataka Stamp (Payment of Duty by Means of e-Stamping) Rules, 2009</w:t>
            </w:r>
          </w:p>
        </w:tc>
        <w:tc>
          <w:tcPr>
            <w:tcW w:type="dxa" w:w="2400"/>
            <w:shd w:fill="FFFFFF" w:color="auto" w:val="clear"/>
            <w:tcMar>
              <w:top w:type="dxa" w:w="80"/>
              <w:left w:type="dxa" w:w="100"/>
              <w:bottom w:type="dxa" w:w="80"/>
              <w:right w:type="dxa" w:w="100"/>
            </w:tcMar>
            <w:vAlign w:val="center"/>
          </w:tcPr>
          <w:p>
            <w:pPr>
              <w:jc w:val="left"/>
            </w:pPr>
            <w:r>
              <w:rPr>
                <w:b w:val="false"/>
                <w:bCs w:val="false"/>
                <w:sz w:val="19"/>
                <w:szCs w:val="19"/>
              </w:rPr>
              <w:t xml:space="preserve">Stamp payment procedures</w:t>
            </w:r>
          </w:p>
        </w:tc>
        <w:tc>
          <w:tcPr>
            <w:tcW w:type="dxa" w:w="4500"/>
            <w:shd w:fill="FFFFFF" w:color="auto" w:val="clear"/>
            <w:tcMar>
              <w:top w:type="dxa" w:w="80"/>
              <w:left w:type="dxa" w:w="100"/>
              <w:bottom w:type="dxa" w:w="80"/>
              <w:right w:type="dxa" w:w="100"/>
            </w:tcMar>
            <w:vAlign w:val="center"/>
          </w:tcPr>
          <w:p>
            <w:pPr>
              <w:jc w:val="left"/>
            </w:pPr>
            <w:r>
              <w:rPr>
                <w:b w:val="false"/>
                <w:bCs w:val="false"/>
                <w:sz w:val="19"/>
                <w:szCs w:val="19"/>
              </w:rPr>
              <w:t xml:space="preserve">Impressed/franking/e-Stamp payment and verification at presentation</w:t>
            </w:r>
          </w:p>
        </w:tc>
      </w:tr>
      <w:tr>
        <w:tc>
          <w:tcPr>
            <w:tcW w:type="dxa" w:w="2800"/>
            <w:shd w:fill="DCE6F1" w:color="auto" w:val="clear"/>
            <w:tcMar>
              <w:top w:type="dxa" w:w="80"/>
              <w:left w:type="dxa" w:w="100"/>
              <w:bottom w:type="dxa" w:w="80"/>
              <w:right w:type="dxa" w:w="100"/>
            </w:tcMar>
            <w:vAlign w:val="center"/>
          </w:tcPr>
          <w:p>
            <w:pPr>
              <w:jc w:val="left"/>
            </w:pPr>
            <w:r>
              <w:rPr>
                <w:b w:val="false"/>
                <w:bCs w:val="false"/>
                <w:sz w:val="19"/>
                <w:szCs w:val="19"/>
              </w:rPr>
              <w:t xml:space="preserve">Karnataka Stamp (Prevention of Undervaluation of Instruments) Rules, 1977 (GSR 81 / RD 73 EST 74)</w:t>
            </w:r>
          </w:p>
        </w:tc>
        <w:tc>
          <w:tcPr>
            <w:tcW w:type="dxa" w:w="2400"/>
            <w:shd w:fill="DCE6F1" w:color="auto" w:val="clear"/>
            <w:tcMar>
              <w:top w:type="dxa" w:w="80"/>
              <w:left w:type="dxa" w:w="100"/>
              <w:bottom w:type="dxa" w:w="80"/>
              <w:right w:type="dxa" w:w="100"/>
            </w:tcMar>
            <w:vAlign w:val="center"/>
          </w:tcPr>
          <w:p>
            <w:pPr>
              <w:jc w:val="left"/>
            </w:pPr>
            <w:r>
              <w:rPr>
                <w:b w:val="false"/>
                <w:bCs w:val="false"/>
                <w:sz w:val="19"/>
                <w:szCs w:val="19"/>
              </w:rPr>
              <w:t xml:space="preserve">Form I; DC determination; appeal</w:t>
            </w:r>
          </w:p>
        </w:tc>
        <w:tc>
          <w:tcPr>
            <w:tcW w:type="dxa" w:w="4500"/>
            <w:shd w:fill="DCE6F1" w:color="auto" w:val="clear"/>
            <w:tcMar>
              <w:top w:type="dxa" w:w="80"/>
              <w:left w:type="dxa" w:w="100"/>
              <w:bottom w:type="dxa" w:w="80"/>
              <w:right w:type="dxa" w:w="100"/>
            </w:tcMar>
            <w:vAlign w:val="center"/>
          </w:tcPr>
          <w:p>
            <w:pPr>
              <w:jc w:val="left"/>
            </w:pPr>
            <w:r>
              <w:rPr>
                <w:b w:val="false"/>
                <w:bCs w:val="false"/>
                <w:sz w:val="19"/>
                <w:szCs w:val="19"/>
              </w:rPr>
              <w:t xml:space="preserve">Sec. 45-A undervaluation reference procedure</w:t>
            </w:r>
          </w:p>
        </w:tc>
      </w:tr>
      <w:tr>
        <w:tc>
          <w:tcPr>
            <w:tcW w:type="dxa" w:w="2800"/>
            <w:shd w:fill="FFFFFF" w:color="auto" w:val="clear"/>
            <w:tcMar>
              <w:top w:type="dxa" w:w="80"/>
              <w:left w:type="dxa" w:w="100"/>
              <w:bottom w:type="dxa" w:w="80"/>
              <w:right w:type="dxa" w:w="100"/>
            </w:tcMar>
            <w:vAlign w:val="center"/>
          </w:tcPr>
          <w:p>
            <w:pPr>
              <w:jc w:val="left"/>
            </w:pPr>
            <w:r>
              <w:rPr>
                <w:b w:val="false"/>
                <w:bCs w:val="false"/>
                <w:sz w:val="19"/>
                <w:szCs w:val="19"/>
              </w:rPr>
              <w:t xml:space="preserve">RGN 2/2002-03 (1-Apr-2002; w.e.f. 4-Apr-2002); RGN/287/02-03 (29-Mar-2003)</w:t>
            </w:r>
          </w:p>
        </w:tc>
        <w:tc>
          <w:tcPr>
            <w:tcW w:type="dxa" w:w="2400"/>
            <w:shd w:fill="FFFFFF" w:color="auto" w:val="clear"/>
            <w:tcMar>
              <w:top w:type="dxa" w:w="80"/>
              <w:left w:type="dxa" w:w="100"/>
              <w:bottom w:type="dxa" w:w="80"/>
              <w:right w:type="dxa" w:w="100"/>
            </w:tcMar>
            <w:vAlign w:val="center"/>
          </w:tcPr>
          <w:p>
            <w:pPr>
              <w:jc w:val="left"/>
            </w:pPr>
            <w:r>
              <w:rPr>
                <w:b w:val="false"/>
                <w:bCs w:val="false"/>
                <w:sz w:val="19"/>
                <w:szCs w:val="19"/>
              </w:rPr>
              <w:t xml:space="preserve">Rule 19-A document sheets; Rules 22-A–22-C; Rule 40 photograph/digital photo</w:t>
            </w:r>
          </w:p>
        </w:tc>
        <w:tc>
          <w:tcPr>
            <w:tcW w:type="dxa" w:w="4500"/>
            <w:shd w:fill="FFFFFF" w:color="auto" w:val="clear"/>
            <w:tcMar>
              <w:top w:type="dxa" w:w="80"/>
              <w:left w:type="dxa" w:w="100"/>
              <w:bottom w:type="dxa" w:w="80"/>
              <w:right w:type="dxa" w:w="100"/>
            </w:tcMar>
            <w:vAlign w:val="center"/>
          </w:tcPr>
          <w:p>
            <w:pPr>
              <w:jc w:val="left"/>
            </w:pPr>
            <w:r>
              <w:rPr>
                <w:b w:val="false"/>
                <w:bCs w:val="false"/>
                <w:sz w:val="19"/>
                <w:szCs w:val="19"/>
              </w:rPr>
              <w:t xml:space="preserve">Document format and photo capture at presentation</w:t>
            </w:r>
          </w:p>
        </w:tc>
      </w:tr>
      <w:tr>
        <w:tc>
          <w:tcPr>
            <w:tcW w:type="dxa" w:w="2800"/>
            <w:shd w:fill="DCE6F1" w:color="auto" w:val="clear"/>
            <w:tcMar>
              <w:top w:type="dxa" w:w="80"/>
              <w:left w:type="dxa" w:w="100"/>
              <w:bottom w:type="dxa" w:w="80"/>
              <w:right w:type="dxa" w:w="100"/>
            </w:tcMar>
            <w:vAlign w:val="center"/>
          </w:tcPr>
          <w:p>
            <w:pPr>
              <w:jc w:val="left"/>
            </w:pPr>
            <w:r>
              <w:rPr>
                <w:b w:val="false"/>
                <w:bCs w:val="false"/>
                <w:sz w:val="19"/>
                <w:szCs w:val="19"/>
              </w:rPr>
              <w:t xml:space="preserve">RD 403 ESR 85 (27-May-1986), as amended by RD/46/MNMU/2025 (29-Aug-2025)</w:t>
            </w:r>
          </w:p>
        </w:tc>
        <w:tc>
          <w:tcPr>
            <w:tcW w:type="dxa" w:w="2400"/>
            <w:shd w:fill="DCE6F1" w:color="auto" w:val="clear"/>
            <w:tcMar>
              <w:top w:type="dxa" w:w="80"/>
              <w:left w:type="dxa" w:w="100"/>
              <w:bottom w:type="dxa" w:w="80"/>
              <w:right w:type="dxa" w:w="100"/>
            </w:tcMar>
            <w:vAlign w:val="center"/>
          </w:tcPr>
          <w:p>
            <w:pPr>
              <w:jc w:val="left"/>
            </w:pPr>
            <w:r>
              <w:rPr>
                <w:b w:val="false"/>
                <w:bCs w:val="false"/>
                <w:sz w:val="19"/>
                <w:szCs w:val="19"/>
              </w:rPr>
              <w:t xml:space="preserve">Table of Registration Fees under Sec. 78</w:t>
            </w:r>
          </w:p>
        </w:tc>
        <w:tc>
          <w:tcPr>
            <w:tcW w:type="dxa" w:w="4500"/>
            <w:shd w:fill="DCE6F1" w:color="auto" w:val="clear"/>
            <w:tcMar>
              <w:top w:type="dxa" w:w="80"/>
              <w:left w:type="dxa" w:w="100"/>
              <w:bottom w:type="dxa" w:w="80"/>
              <w:right w:type="dxa" w:w="100"/>
            </w:tcMar>
            <w:vAlign w:val="center"/>
          </w:tcPr>
          <w:p>
            <w:pPr>
              <w:jc w:val="left"/>
            </w:pPr>
            <w:r>
              <w:rPr>
                <w:b w:val="false"/>
                <w:bCs w:val="false"/>
                <w:sz w:val="19"/>
                <w:szCs w:val="19"/>
              </w:rPr>
              <w:t xml:space="preserve">Registration fee calculation — revised w.e.f. 31-Aug-2025</w:t>
            </w:r>
          </w:p>
        </w:tc>
      </w:tr>
      <w:tr>
        <w:tc>
          <w:tcPr>
            <w:tcW w:type="dxa" w:w="2800"/>
            <w:shd w:fill="FFFFFF" w:color="auto" w:val="clear"/>
            <w:tcMar>
              <w:top w:type="dxa" w:w="80"/>
              <w:left w:type="dxa" w:w="100"/>
              <w:bottom w:type="dxa" w:w="80"/>
              <w:right w:type="dxa" w:w="100"/>
            </w:tcMar>
            <w:vAlign w:val="center"/>
          </w:tcPr>
          <w:p>
            <w:pPr>
              <w:jc w:val="left"/>
            </w:pPr>
            <w:r>
              <w:rPr>
                <w:b w:val="false"/>
                <w:bCs w:val="false"/>
                <w:sz w:val="19"/>
                <w:szCs w:val="19"/>
              </w:rPr>
              <w:t xml:space="preserve">RD 380 MUNOMU 2008 (8-Apr-2009)</w:t>
            </w:r>
          </w:p>
        </w:tc>
        <w:tc>
          <w:tcPr>
            <w:tcW w:type="dxa" w:w="2400"/>
            <w:shd w:fill="FFFFFF" w:color="auto" w:val="clear"/>
            <w:tcMar>
              <w:top w:type="dxa" w:w="80"/>
              <w:left w:type="dxa" w:w="100"/>
              <w:bottom w:type="dxa" w:w="80"/>
              <w:right w:type="dxa" w:w="100"/>
            </w:tcMar>
            <w:vAlign w:val="center"/>
          </w:tcPr>
          <w:p>
            <w:pPr>
              <w:jc w:val="left"/>
            </w:pPr>
            <w:r>
              <w:rPr>
                <w:b w:val="false"/>
                <w:bCs w:val="false"/>
                <w:sz w:val="19"/>
                <w:szCs w:val="19"/>
              </w:rPr>
              <w:t xml:space="preserve">e-Stamping Rules, 2009</w:t>
            </w:r>
          </w:p>
        </w:tc>
        <w:tc>
          <w:tcPr>
            <w:tcW w:type="dxa" w:w="4500"/>
            <w:shd w:fill="FFFFFF" w:color="auto" w:val="clear"/>
            <w:tcMar>
              <w:top w:type="dxa" w:w="80"/>
              <w:left w:type="dxa" w:w="100"/>
              <w:bottom w:type="dxa" w:w="80"/>
              <w:right w:type="dxa" w:w="100"/>
            </w:tcMar>
            <w:vAlign w:val="center"/>
          </w:tcPr>
          <w:p>
            <w:pPr>
              <w:jc w:val="left"/>
            </w:pPr>
            <w:r>
              <w:rPr>
                <w:b w:val="false"/>
                <w:bCs w:val="false"/>
                <w:sz w:val="19"/>
                <w:szCs w:val="19"/>
              </w:rPr>
              <w:t xml:space="preserve">e-Stamp payment and verification at SRO</w:t>
            </w:r>
          </w:p>
        </w:tc>
      </w:tr>
      <w:tr>
        <w:tc>
          <w:tcPr>
            <w:tcW w:type="dxa" w:w="2800"/>
            <w:shd w:fill="DCE6F1" w:color="auto" w:val="clear"/>
            <w:tcMar>
              <w:top w:type="dxa" w:w="80"/>
              <w:left w:type="dxa" w:w="100"/>
              <w:bottom w:type="dxa" w:w="80"/>
              <w:right w:type="dxa" w:w="100"/>
            </w:tcMar>
            <w:vAlign w:val="center"/>
          </w:tcPr>
          <w:p>
            <w:pPr>
              <w:jc w:val="left"/>
            </w:pPr>
            <w:r>
              <w:rPr>
                <w:b w:val="false"/>
                <w:bCs w:val="false"/>
                <w:sz w:val="19"/>
                <w:szCs w:val="19"/>
              </w:rPr>
              <w:t xml:space="preserve">Act 8 of 2003 (w.e.f. 1-4-2003)</w:t>
            </w:r>
          </w:p>
        </w:tc>
        <w:tc>
          <w:tcPr>
            <w:tcW w:type="dxa" w:w="2400"/>
            <w:shd w:fill="DCE6F1" w:color="auto" w:val="clear"/>
            <w:tcMar>
              <w:top w:type="dxa" w:w="80"/>
              <w:left w:type="dxa" w:w="100"/>
              <w:bottom w:type="dxa" w:w="80"/>
              <w:right w:type="dxa" w:w="100"/>
            </w:tcMar>
            <w:vAlign w:val="center"/>
          </w:tcPr>
          <w:p>
            <w:pPr>
              <w:jc w:val="left"/>
            </w:pPr>
            <w:r>
              <w:rPr>
                <w:b w:val="false"/>
                <w:bCs w:val="false"/>
                <w:sz w:val="19"/>
                <w:szCs w:val="19"/>
              </w:rPr>
              <w:t xml:space="preserve">Strengthened Sec. 45-B CVC framework</w:t>
            </w:r>
          </w:p>
        </w:tc>
        <w:tc>
          <w:tcPr>
            <w:tcW w:type="dxa" w:w="4500"/>
            <w:shd w:fill="DCE6F1" w:color="auto" w:val="clear"/>
            <w:tcMar>
              <w:top w:type="dxa" w:w="80"/>
              <w:left w:type="dxa" w:w="100"/>
              <w:bottom w:type="dxa" w:w="80"/>
              <w:right w:type="dxa" w:w="100"/>
            </w:tcMar>
            <w:vAlign w:val="center"/>
          </w:tcPr>
          <w:p>
            <w:pPr>
              <w:jc w:val="left"/>
            </w:pPr>
            <w:r>
              <w:rPr>
                <w:b w:val="false"/>
                <w:bCs w:val="false"/>
                <w:sz w:val="19"/>
                <w:szCs w:val="19"/>
              </w:rPr>
              <w:t xml:space="preserve">Guideline publication, revision cycle and sub-committee working</w:t>
            </w:r>
          </w:p>
        </w:tc>
      </w:tr>
      <w:tr>
        <w:tc>
          <w:tcPr>
            <w:tcW w:type="dxa" w:w="2800"/>
            <w:shd w:fill="FFFFFF" w:color="auto" w:val="clear"/>
            <w:tcMar>
              <w:top w:type="dxa" w:w="80"/>
              <w:left w:type="dxa" w:w="100"/>
              <w:bottom w:type="dxa" w:w="80"/>
              <w:right w:type="dxa" w:w="100"/>
            </w:tcMar>
            <w:vAlign w:val="center"/>
          </w:tcPr>
          <w:p>
            <w:pPr>
              <w:jc w:val="left"/>
            </w:pPr>
            <w:r>
              <w:rPr>
                <w:b w:val="false"/>
                <w:bCs w:val="false"/>
                <w:sz w:val="19"/>
                <w:szCs w:val="19"/>
              </w:rPr>
              <w:t xml:space="preserve">RD 264 MUNOMU 99 (18-8-1999)</w:t>
            </w:r>
          </w:p>
        </w:tc>
        <w:tc>
          <w:tcPr>
            <w:tcW w:type="dxa" w:w="2400"/>
            <w:shd w:fill="FFFFFF" w:color="auto" w:val="clear"/>
            <w:tcMar>
              <w:top w:type="dxa" w:w="80"/>
              <w:left w:type="dxa" w:w="100"/>
              <w:bottom w:type="dxa" w:w="80"/>
              <w:right w:type="dxa" w:w="100"/>
            </w:tcMar>
            <w:vAlign w:val="center"/>
          </w:tcPr>
          <w:p>
            <w:pPr>
              <w:jc w:val="left"/>
            </w:pPr>
            <w:r>
              <w:rPr>
                <w:b w:val="false"/>
                <w:bCs w:val="false"/>
                <w:sz w:val="19"/>
                <w:szCs w:val="19"/>
              </w:rPr>
              <w:t xml:space="preserve">Amendment to Undervaluation Rules, 1977</w:t>
            </w:r>
          </w:p>
        </w:tc>
        <w:tc>
          <w:tcPr>
            <w:tcW w:type="dxa" w:w="4500"/>
            <w:shd w:fill="FFFFFF" w:color="auto" w:val="clear"/>
            <w:tcMar>
              <w:top w:type="dxa" w:w="80"/>
              <w:left w:type="dxa" w:w="100"/>
              <w:bottom w:type="dxa" w:w="80"/>
              <w:right w:type="dxa" w:w="100"/>
            </w:tcMar>
            <w:vAlign w:val="center"/>
          </w:tcPr>
          <w:p>
            <w:pPr>
              <w:jc w:val="left"/>
            </w:pPr>
            <w:r>
              <w:rPr>
                <w:b w:val="false"/>
                <w:bCs w:val="false"/>
                <w:sz w:val="19"/>
                <w:szCs w:val="19"/>
              </w:rPr>
              <w:t xml:space="preserve">Removed obsolete provisional/Rule 6 path in the undervaluation workflow</w:t>
            </w:r>
          </w:p>
        </w:tc>
      </w:tr>
      <w:tr>
        <w:tc>
          <w:tcPr>
            <w:tcW w:type="dxa" w:w="2800"/>
            <w:shd w:fill="DCE6F1" w:color="auto" w:val="clear"/>
            <w:tcMar>
              <w:top w:type="dxa" w:w="80"/>
              <w:left w:type="dxa" w:w="100"/>
              <w:bottom w:type="dxa" w:w="80"/>
              <w:right w:type="dxa" w:w="100"/>
            </w:tcMar>
            <w:vAlign w:val="center"/>
          </w:tcPr>
          <w:p>
            <w:pPr>
              <w:jc w:val="left"/>
            </w:pPr>
            <w:r>
              <w:rPr>
                <w:b w:val="false"/>
                <w:bCs w:val="false"/>
                <w:sz w:val="19"/>
                <w:szCs w:val="19"/>
              </w:rPr>
              <w:t xml:space="preserve">Karnataka Registration (Amendment) Rules, 1971 and later GSRs</w:t>
            </w:r>
          </w:p>
        </w:tc>
        <w:tc>
          <w:tcPr>
            <w:tcW w:type="dxa" w:w="2400"/>
            <w:shd w:fill="DCE6F1" w:color="auto" w:val="clear"/>
            <w:tcMar>
              <w:top w:type="dxa" w:w="80"/>
              <w:left w:type="dxa" w:w="100"/>
              <w:bottom w:type="dxa" w:w="80"/>
              <w:right w:type="dxa" w:w="100"/>
            </w:tcMar>
            <w:vAlign w:val="center"/>
          </w:tcPr>
          <w:p>
            <w:pPr>
              <w:jc w:val="left"/>
            </w:pPr>
            <w:r>
              <w:rPr>
                <w:b w:val="false"/>
                <w:bCs w:val="false"/>
                <w:sz w:val="19"/>
                <w:szCs w:val="19"/>
              </w:rPr>
              <w:t xml:space="preserve">Amendments to Rule 17 Parts IV–V</w:t>
            </w:r>
          </w:p>
        </w:tc>
        <w:tc>
          <w:tcPr>
            <w:tcW w:type="dxa" w:w="4500"/>
            <w:shd w:fill="DCE6F1" w:color="auto" w:val="clear"/>
            <w:tcMar>
              <w:top w:type="dxa" w:w="80"/>
              <w:left w:type="dxa" w:w="100"/>
              <w:bottom w:type="dxa" w:w="80"/>
              <w:right w:type="dxa" w:w="100"/>
            </w:tcMar>
            <w:vAlign w:val="center"/>
          </w:tcPr>
          <w:p>
            <w:pPr>
              <w:jc w:val="left"/>
            </w:pPr>
            <w:r>
              <w:rPr>
                <w:b w:val="false"/>
                <w:bCs w:val="false"/>
                <w:sz w:val="19"/>
                <w:szCs w:val="19"/>
              </w:rPr>
              <w:t xml:space="preserve">Institutional/revenue filing text updates</w:t>
            </w:r>
          </w:p>
        </w:tc>
      </w:tr>
    </w:tbl>
    <w:p>
      <w:r>
        <w:br w:type="page"/>
      </w:r>
    </w:p>
    <w:p>
      <w:pPr>
        <w:pStyle w:val="Heading1"/>
        <w:pBdr>
          <w:bottom w:val="single" w:color="1F3864" w:sz="8" w:space="4"/>
        </w:pBdr>
        <w:spacing w:after="180" w:before="360"/>
      </w:pPr>
      <w:r>
        <w:rPr>
          <w:b/>
          <w:bCs/>
          <w:color w:val="1F3864"/>
        </w:rPr>
        <w:t xml:space="preserve">6. Open Queries, Risks &amp; Dependencies</w:t>
      </w:r>
    </w:p>
    <w:p>
      <w:pPr>
        <w:spacing w:after="160"/>
      </w:pPr>
      <w:r>
        <w:rPr>
          <w:sz w:val="21"/>
          <w:szCs w:val="21"/>
        </w:rPr>
        <w:t xml:space="preserve">The following were raised in the source discussions as unresolved and need an owner and a decision before the affected workstream can be finalised:</w:t>
      </w:r>
    </w:p>
    <w:p>
      <w:pPr>
        <w:pStyle w:val="ListParagraph"/>
        <w:numPr>
          <w:ilvl w:val="0"/>
          <w:numId w:val="2"/>
        </w:numPr>
        <w:spacing w:after="100"/>
      </w:pPr>
      <w:r>
        <w:rPr>
          <w:sz w:val="21"/>
          <w:szCs w:val="21"/>
        </w:rPr>
        <w:t xml:space="preserve">If the filing process moves to paperless, should document templates be generated in all the languages currently required, or only a subset? (Raised 02-09-2026; needs a decision from the policy/language owner before the Rule 17 filing UI is finalised.)</w:t>
      </w:r>
    </w:p>
    <w:p>
      <w:pPr>
        <w:pStyle w:val="ListParagraph"/>
        <w:numPr>
          <w:ilvl w:val="0"/>
          <w:numId w:val="2"/>
        </w:numPr>
        <w:spacing w:after="100"/>
      </w:pPr>
      <w:r>
        <w:rPr>
          <w:sz w:val="21"/>
          <w:szCs w:val="21"/>
        </w:rPr>
        <w:t xml:space="preserve">Rescheduling-with-fine mechanism for slot booking needs further study before it can be specified (28-08-2026, Workstream B, item 4).</w:t>
      </w:r>
    </w:p>
    <w:p>
      <w:pPr>
        <w:pStyle w:val="ListParagraph"/>
        <w:numPr>
          <w:ilvl w:val="0"/>
          <w:numId w:val="2"/>
        </w:numPr>
        <w:spacing w:after="100"/>
      </w:pPr>
      <w:r>
        <w:rPr>
          <w:sz w:val="21"/>
          <w:szCs w:val="21"/>
        </w:rPr>
        <w:t xml:space="preserve">The under-valuation and impound workflow for SRO-selected roads is deferred to Version 3.0 and needs a firm scope and timeline commitment (28-08-2026, Workstream B, item 2).</w:t>
      </w:r>
    </w:p>
    <w:p>
      <w:pPr>
        <w:pStyle w:val="Heading2"/>
        <w:spacing w:after="140" w:before="280"/>
      </w:pPr>
      <w:r>
        <w:rPr>
          <w:b/>
          <w:bCs/>
          <w:color w:val="2E5395"/>
        </w:rPr>
        <w:t xml:space="preserve">6.1 Cross-workstream dependency</w:t>
      </w:r>
    </w:p>
    <w:p>
      <w:pPr>
        <w:spacing w:after="160"/>
      </w:pPr>
      <w:r>
        <w:rPr>
          <w:sz w:val="21"/>
          <w:szCs w:val="21"/>
        </w:rPr>
        <w:t xml:space="preserve">Workstream C (guideline value / CVC / GIS) is a direct dependency of Workstream B, item 9 (stamp duty, registration fee and guidance-value calculations) and of Workstream A, item 5 (property valuation). The calculation engine should be designed once in Workstream C and consumed by A and B rather than re-implemented per screen.</w:t>
      </w:r>
    </w:p>
    <w:p>
      <w:r>
        <w:br w:type="page"/>
      </w:r>
    </w:p>
    <w:p>
      <w:pPr>
        <w:pStyle w:val="Heading1"/>
        <w:pBdr>
          <w:bottom w:val="single" w:color="1F3864" w:sz="8" w:space="4"/>
        </w:pBdr>
        <w:spacing w:after="180" w:before="360"/>
      </w:pPr>
      <w:r>
        <w:rPr>
          <w:b/>
          <w:bCs/>
          <w:color w:val="1F3864"/>
        </w:rPr>
        <w:t xml:space="preserve">7. Next Steps</w:t>
      </w:r>
    </w:p>
    <w:p>
      <w:pPr>
        <w:pStyle w:val="ListParagraph"/>
        <w:numPr>
          <w:ilvl w:val="0"/>
          <w:numId w:val="2"/>
        </w:numPr>
        <w:spacing w:after="100"/>
      </w:pPr>
      <w:r>
        <w:rPr>
          <w:sz w:val="21"/>
          <w:szCs w:val="21"/>
        </w:rPr>
        <w:t xml:space="preserve">Circulate this document to AIGR, Project Management, CMS and DIGR‑Valuation for sign-off on the workstream scope and the phased roadmap.</w:t>
      </w:r>
    </w:p>
    <w:p>
      <w:pPr>
        <w:pStyle w:val="ListParagraph"/>
        <w:numPr>
          <w:ilvl w:val="0"/>
          <w:numId w:val="2"/>
        </w:numPr>
        <w:spacing w:after="100"/>
      </w:pPr>
      <w:r>
        <w:rPr>
          <w:sz w:val="21"/>
          <w:szCs w:val="21"/>
        </w:rPr>
        <w:t xml:space="preserve">Assign owners for each of the three open queries in Section 6.</w:t>
      </w:r>
    </w:p>
    <w:p>
      <w:pPr>
        <w:pStyle w:val="ListParagraph"/>
        <w:numPr>
          <w:ilvl w:val="0"/>
          <w:numId w:val="2"/>
        </w:numPr>
        <w:spacing w:after="100"/>
      </w:pPr>
      <w:r>
        <w:rPr>
          <w:sz w:val="21"/>
          <w:szCs w:val="21"/>
        </w:rPr>
        <w:t xml:space="preserve">Convert the Phase 1 (Stabilise) items into a defect-closure backlog against the ticket numbers cited in Section 3, since these numbers are already the evidence trail.</w:t>
      </w:r>
    </w:p>
    <w:p>
      <w:pPr>
        <w:pStyle w:val="ListParagraph"/>
        <w:numPr>
          <w:ilvl w:val="0"/>
          <w:numId w:val="2"/>
        </w:numPr>
        <w:spacing w:after="100"/>
      </w:pPr>
      <w:r>
        <w:rPr>
          <w:sz w:val="21"/>
          <w:szCs w:val="21"/>
        </w:rPr>
        <w:t xml:space="preserve">Hand the Phase 3 user stories (US-GV, US-CVC, US-GIS) and the Phase 4 user stories (US-17.x) to design/engineering as the first re-engineering deliverables, since they are already written in user-story form in the source notes.</w:t>
      </w:r>
    </w:p>
    <w:p>
      <w:pPr>
        <w:pStyle w:val="ListParagraph"/>
        <w:numPr>
          <w:ilvl w:val="0"/>
          <w:numId w:val="2"/>
        </w:numPr>
        <w:spacing w:after="100"/>
      </w:pPr>
      <w:r>
        <w:rPr>
          <w:sz w:val="21"/>
          <w:szCs w:val="21"/>
        </w:rPr>
        <w:t xml:space="preserve">Schedule the Version 3.0 scoping discussion for the under-valuation/impound workflow (Phase 5).</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Kaveri 3.0 — Document Registration BPR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Kaveri 3.0 Document Registration — Business Process Re-Engineering Document</dc:title>
  <dc:creator>Kaveri IT Cell</dc:creator>
  <dc:description>Consolidated BPR document from the 27-08-2026, 28-08-2026, 01-09-2026 and 02-09-2026 requirement discussions.</dc:description>
  <cp:lastModifiedBy>Un-named</cp:lastModifiedBy>
  <cp:revision>1</cp:revision>
  <dcterms:created xsi:type="dcterms:W3CDTF">2026-09-04T14:42:45.115Z</dcterms:created>
  <dcterms:modified xsi:type="dcterms:W3CDTF">2026-09-04T14:42:45.115Z</dcterms:modified>
</cp:coreProperties>
</file>

<file path=docProps/custom.xml><?xml version="1.0" encoding="utf-8"?>
<Properties xmlns="http://schemas.openxmlformats.org/officeDocument/2006/custom-properties" xmlns:vt="http://schemas.openxmlformats.org/officeDocument/2006/docPropsVTypes"/>
</file>