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2.1</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Sanctioned posts master capturing the number of sanctioned posts (approved strength) for each DSR role at each office</w:t>
      </w:r>
    </w:p>
    <w:p w:rsidR="00C1362C" w:rsidRDefault="00F92B37">
      <w:pPr>
        <w:pStyle w:val="ListParagraph"/>
        <w:numPr>
          <w:ilvl w:val="0"/>
          <w:numId w:val="2"/>
        </w:numPr>
        <w:spacing w:after="100"/>
      </w:pPr>
      <w:r>
        <w:rPr>
          <w:sz w:val="22"/>
          <w:szCs w:val="22"/>
        </w:rPr>
        <w:t>Primary Role and Secondary Role assignment for DSR Officers only;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Primary and Secondary role assignment for DSR Officers; single role and optional end-date deactivation for Other Department users.</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Other Department and Citizen Roles</w:t>
      </w:r>
    </w:p>
    <w:p>
      <w:pPr/>
      <w:r>
        <w:t>Other Department and Citizen roles are maintained in the same Role Master (not separate masters), with Role Category = Other Department or Citizen respectively. Other Department users are assigned exactly one role with Role Category = Other Department. Primary and Secondary role distinction does not apply to Other Department users or Citizens. Sanctioned posts do not apply to these categories.</w:t>
      </w:r>
    </w:p>
    <w:p/>
    <w:tbl>
      <w:tr>
        <w:tc>
          <w:tcPr>
            <w:shd w:val="clear" w:fill="D9E2F3"/>
          </w:tcPr>
          <w:p>
            <w:r>
              <w:rPr>
                <w:b/>
              </w:rPr>
              <w:t>Role Category</w:t>
            </w:r>
          </w:p>
        </w:tc>
        <w:tc>
          <w:tcPr>
            <w:shd w:val="clear" w:fill="D9E2F3"/>
          </w:tcPr>
          <w:p>
            <w:r>
              <w:rPr>
                <w:b/>
              </w:rPr>
              <w:t>Example / Scope</w:t>
            </w:r>
          </w:p>
        </w:tc>
        <w:tc>
          <w:tcPr>
            <w:shd w:val="clear" w:fill="D9E2F3"/>
          </w:tcPr>
          <w:p>
            <w:r>
              <w:rPr>
                <w:b/>
              </w:rPr>
              <w:t>Example Roles</w:t>
            </w:r>
          </w:p>
        </w:tc>
      </w:tr>
      <w:tr>
        <w:tc>
          <w:p>
            <w:r>
              <w:t>Citizen</w:t>
            </w:r>
          </w:p>
        </w:tc>
        <w:tc>
          <w:p>
            <w:r>
              <w:t>Public portal users</w:t>
            </w:r>
          </w:p>
        </w:tc>
        <w:tc>
          <w:p>
            <w:r>
              <w:t>Citizen (default self-registered access)</w:t>
            </w:r>
          </w:p>
        </w:tc>
      </w:tr>
      <w:tr>
        <w:tc>
          <w:p>
            <w:r>
              <w:t>Other Department</w:t>
            </w:r>
          </w:p>
        </w:tc>
        <w:tc>
          <w:p>
            <w:r>
              <w:t>Revenue Department</w:t>
            </w:r>
          </w:p>
        </w:tc>
        <w:tc>
          <w:p>
            <w:r>
              <w:t>Revenue Verification Officer, Bhoomi Cross-check User</w:t>
            </w:r>
          </w:p>
        </w:tc>
      </w:tr>
      <w:tr>
        <w:tc>
          <w:p>
            <w:r>
              <w:t>Other Department</w:t>
            </w:r>
          </w:p>
        </w:tc>
        <w:tc>
          <w:p>
            <w:r>
              <w:t>Treasury / Finance</w:t>
            </w:r>
          </w:p>
        </w:tc>
        <w:tc>
          <w:p>
            <w:r>
              <w:t>Treasury Payment Verifier, Khajane Reconciliation User</w:t>
            </w:r>
          </w:p>
        </w:tc>
      </w:tr>
      <w:tr>
        <w:tc>
          <w:p>
            <w:r>
              <w:t>Other Department</w:t>
            </w:r>
          </w:p>
        </w:tc>
        <w:tc>
          <w:p>
            <w:r>
              <w:t>Police</w:t>
            </w:r>
          </w:p>
        </w:tc>
        <w:tc>
          <w:p>
            <w:r>
              <w:t>Police Enquiry Officer, FIR Verification User</w:t>
            </w:r>
          </w:p>
        </w:tc>
      </w:tr>
      <w:tr>
        <w:tc>
          <w:p>
            <w:r>
              <w:t>Other Department</w:t>
            </w:r>
          </w:p>
        </w:tc>
        <w:tc>
          <w:p>
            <w:r>
              <w:t>Urban Local Body (ULB)</w:t>
            </w:r>
          </w:p>
        </w:tc>
        <w:tc>
          <w:p>
            <w:r>
              <w:t>ULB Document Verifier</w:t>
            </w:r>
          </w:p>
        </w:tc>
      </w:tr>
      <w:tr>
        <w:tc>
          <w:p>
            <w:r>
              <w:t>Other Department</w:t>
            </w:r>
          </w:p>
        </w:tc>
        <w:tc>
          <w:p>
            <w:r>
              <w:t>General (cross-department)</w:t>
            </w:r>
          </w:p>
        </w:tc>
        <w:tc>
          <w:p>
            <w:r>
              <w:t>Read-only MIS Viewer, Document Upload User</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v2.1</dc:title>
  <dc:subject>BRD-K3-UM-001</dc:subject>
</cp:coreProperties>
</file>