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(Digital e-Stamp Certificate)</w:t>
      </w:r>
    </w:p>
    <w:p>
      <w:pPr>
        <w:spacing w:after="0"/>
        <w:jc w:val="center"/>
      </w:pPr>
      <w:r>
        <w:rPr>
          <w:b/>
          <w:i w:val="0"/>
        </w:rPr>
        <w:t>GOVERNMENT OF KARNATAKA - DEPARTMENT OF STAMPS AND REGISTRATION</w:t>
      </w:r>
    </w:p>
    <w:p>
      <w:pPr>
        <w:spacing w:after="120"/>
        <w:jc w:val="center"/>
      </w:pPr>
      <w:r>
        <w:rPr>
          <w:b/>
          <w:i w:val="0"/>
          <w:sz w:val="24"/>
        </w:rPr>
        <w:t>DIGITAL e-STAMP CERTIFICATE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 &amp; Time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 {{ estamp_issue_time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Purchaser of e-Stamp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purchaser_name }}</w:t>
            </w:r>
          </w:p>
          <w:p>
            <w:pPr>
              <w:spacing w:after="0"/>
            </w:pPr>
            <w:r>
              <w:rPr>
                <w:sz w:val="18"/>
              </w:rPr>
              <w:t>{{ purchaser_address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Issued by / Office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issued_by_user }}</w:t>
            </w:r>
          </w:p>
          <w:p>
            <w:pPr>
              <w:spacing w:after="0"/>
            </w:pPr>
            <w:r>
              <w:rPr>
                <w:sz w:val="18"/>
              </w:rPr>
              <w:t>{{ issuing_office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Property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property_brief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Basis of Duty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duty_basis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₹ {{ stamp_duty_amount }}</w:t>
            </w:r>
          </w:p>
          <w:p>
            <w:pPr>
              <w:spacing w:after="0"/>
            </w:pPr>
            <w:r>
              <w:rPr>
                <w:sz w:val="18"/>
              </w:rPr>
              <w:t>({{ stamp_duty_in_words }})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 /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challan_number }}</w:t>
            </w:r>
          </w:p>
          <w:p>
            <w:pPr>
              <w:spacing w:after="0"/>
            </w:pPr>
            <w:r>
              <w:rPr>
                <w:sz w:val="18"/>
              </w:rPr>
              <w:t>{{ challan_date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qr_code }}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sz w:val="18"/>
              </w:rPr>
              <w:t>This Digital e-Stamp certificate is issued under the Karnataka Stamp (Payment of Duty by means of e-Stamping) Rules, 2009 for the instrument written below it. No other instrument shall be written on or using this certificate (Rule 27). Verify by scanning the QR code or at https://kaveri.karnataka.gov.in using the certificate number.</w:t>
            </w:r>
          </w:p>
          <w:p>
            <w:pPr>
              <w:spacing w:after="0"/>
            </w:pPr>
            <w:r>
              <w:rPr>
                <w:sz w:val="18"/>
              </w:rPr>
              <w:t>Department seal: {{ department_seal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0"/>
      </w:pPr>
      <w:r>
        <w:rPr>
          <w:b w:val="0"/>
          <w:i w:val="0"/>
        </w:rPr>
        <w:t>{%p if schedules %}</w:t>
      </w:r>
    </w:p>
    <w:p>
      <w:pPr>
        <w:spacing w:after="0"/>
      </w:pPr>
      <w:r>
        <w:rPr>
          <w:b w:val="0"/>
          <w:i w:val="0"/>
        </w:rPr>
        <w:t>{%p for s in schedules %}</w:t>
      </w:r>
    </w:p>
    <w:p>
      <w:pPr>
        <w:spacing w:after="80"/>
      </w:pPr>
      <w:r>
        <w:rPr>
          <w:b/>
          <w:i w:val="0"/>
        </w:rPr>
        <w:t>Schedule {{ loop.index }} of {{ schedules|length }} ({{ s.source }})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District: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Taluka: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Hobli: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Village: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s.district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s.taluk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s.hobli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s.village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Sy.No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Site Area ({{ s.area_unit }})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Builtup Area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North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South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East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West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s.survey_no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s.site_area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s.builtup_area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s.north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s.south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s.east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s.west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Owner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s.owner_name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Usage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s.property_usage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First Sale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s.first_sale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Local Body Limits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s.local_body_limit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Market Value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s.market_value 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Property Number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595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Current Number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s.property_number_type }}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RDPR PID {{ s.pid }}</w:t>
      </w:r>
    </w:p>
    <w:p>
      <w:pPr>
        <w:spacing w:after="0"/>
      </w:pPr>
      <w:r>
        <w:rPr>
          <w:b/>
          <w:i w:val="0"/>
        </w:rPr>
        <w:t>Description:</w:t>
      </w:r>
    </w:p>
    <w:p>
      <w:pPr>
        <w:spacing w:after="80"/>
        <w:jc w:val="both"/>
      </w:pPr>
      <w:r>
        <w:rPr>
          <w:b w:val="0"/>
          <w:i w:val="0"/>
        </w:rPr>
        <w:t>{{ s.description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0"/>
      </w:pPr>
      <w:r>
        <w:rPr>
          <w:b w:val="0"/>
          <w:i w:val="0"/>
        </w:rPr>
        <w:t>{%p else %}</w:t>
      </w:r>
    </w:p>
    <w:p>
      <w:pPr>
        <w:spacing w:after="80"/>
      </w:pPr>
      <w:r>
        <w:rPr>
          <w:b w:val="0"/>
          <w:i/>
        </w:rPr>
        <w:t>No property schedule is annexed to this instrument.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'Partner', which expression shall include heirs, legal representatives and assigns) in favour of {{ claimant_names }} (hereinafter called the 'Partner',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Firm / LLP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firm_name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Nature of business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business_nature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Principal place of business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principal_place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Date of commencement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commencement_date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Duration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duration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Interest on capital (% p.a.)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interest_on_capital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Bank account operated by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bank_operation 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Capital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Partner name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Capital contribution (Rs.)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Profit / loss share (%)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cp in capital %}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cp.partner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cp.capital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cp.profit_share }}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Consideration Payment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 of Payment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Payment Mode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Reference Number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Bank Name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Amount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 in payments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p.date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p.mode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p.reference_no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p.bank_name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p.amount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p.remarks }}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₹ {{ payments_total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8"/>
        </w:rPr>
        <w:t>Consideration: ₹ {{ consideration_amount }} ({{ consideration_in_words }}); Market value (Sec 45-A): ₹ {{ market_value_total }}</w:t>
      </w: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parties carry on business in partnership under the name {{ firm_name }} as {{ business_nature }} at {{ principal_place }} from {{ commencement_date }}; duration: {{ duration }}.</w:t>
      </w:r>
    </w:p>
    <w:p>
      <w:pPr>
        <w:spacing w:after="80"/>
        <w:jc w:val="both"/>
      </w:pPr>
      <w:r>
        <w:rPr>
          <w:b w:val="0"/>
          <w:i w:val="0"/>
        </w:rPr>
        <w:t>2. Capital and profit sharing shall be as per the Capital table above; interest on capital: {{ interest_on_capital }}%.</w:t>
      </w:r>
    </w:p>
    <w:p>
      <w:pPr>
        <w:spacing w:after="80"/>
        <w:jc w:val="both"/>
      </w:pPr>
      <w:r>
        <w:rPr>
          <w:b w:val="0"/>
          <w:i w:val="0"/>
        </w:rPr>
        <w:t>3. Bank accounts shall be operated by {{ bank_operation }}.</w:t>
      </w:r>
    </w:p>
    <w:p>
      <w:pPr>
        <w:spacing w:after="80"/>
        <w:jc w:val="both"/>
      </w:pPr>
      <w:r>
        <w:rPr>
          <w:b w:val="0"/>
          <w:i w:val="0"/>
        </w:rPr>
        <w:t>4. Proper books of account shall be maintained and closed on 31st March every year.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+ 4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b w:val="0"/>
          <w:i w:val="0"/>
        </w:rPr>
        <w:t>IN WITNESS WHEREOF the parties have executed this instrument by Aadhaar e-Sign / Digital Signature on the dates recorded against their signatures, the last signature being affixed on {{ esign_completed_on }}, at {{ execution_place }}. Stamp duty of ₹ {{ stamp_duty_amount }} has been paid by Digital e-Stamp No. {{ estamp_cert_no }} before execution.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b/>
        <w:sz w:val="18"/>
      </w:rPr>
      <w:t>Digital e-Stamp No.: {{ estamp_cert_no }}</w:t>
    </w:r>
  </w:p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