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'Continuing Partner', which expression shall include heirs, legal representatives and assigns) in favour of {{ claimant_names }} (hereinafter called the 'Incoming / Retiring Partner',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Firm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firm_name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partnership deed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original_deed_date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 of change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effective_date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paid to retiring partner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Revised profit-sharing ratio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revised_shares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With effect from {{ effective_date }} the partnership {{ firm_name }} constituted under deed dated {{ original_deed_date }} is reconstituted ({{ instrument_subtype }}); revised ratio {{ revised_shares }}.</w:t>
      </w:r>
    </w:p>
    <w:p>
      <w:pPr>
        <w:spacing w:after="80"/>
        <w:jc w:val="both"/>
      </w:pPr>
      <w:r>
        <w:rPr>
          <w:b w:val="0"/>
          <w:i w:val="0"/>
        </w:rPr>
        <w:t>2. Amount settled to retiring partner: Rs. {{ settlement_amount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