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Assignor is entitled to {{ assigned_right }} under {{ original_instrument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Right / debt assigned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assigned_right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instrument / decree / policy (no. &amp;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original_instrument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Debtor / obligor / insurer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debtor_name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/ value assigned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amount_assigned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of assignment to be given to debtor (Sec 131 TP Act)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notice_to_debtor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the amount stated in Part III, the Assignor assigns to the Assignee absolutely all right, title and interest in {{ assigned_right }} (value Rs. {{ amount_assigned }}).</w:t>
      </w:r>
    </w:p>
    <w:p>
      <w:pPr>
        <w:spacing w:after="80"/>
        <w:jc w:val="both"/>
      </w:pPr>
      <w:r>
        <w:rPr>
          <w:b w:val="0"/>
          <w:i w:val="0"/>
        </w:rPr>
        <w:t>2. The Assignee may recover the same in his own name from {{ debtor_name }}; notice to debtor: {{ notice_to_debtor }}.</w:t>
      </w:r>
    </w:p>
    <w:p>
      <w:pPr>
        <w:spacing w:after="80"/>
        <w:jc w:val="both"/>
      </w:pPr>
      <w:r>
        <w:rPr>
          <w:b w:val="0"/>
          <w:i w:val="0"/>
        </w:rPr>
        <w:t>3. The Assignor declares that the right assigned is subsisting and has not been previously assigned or encumbered.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