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'Obligor / Surety', which expression shall include heirs, legal representatives and assigns) in favour of {{ claimant_names }} (hereinafter called the 'Court / Obligee',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authority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court_or_authority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Case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Obligation secured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obligation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Obligor and Surety bind themselves to {{ court_or_authority }} in the sum of Rs. {{ security_amount }} for {{ obligation }} in {{ case_reference }}.</w:t>
      </w:r>
    </w:p>
    <w:p>
      <w:pPr>
        <w:spacing w:after="80"/>
        <w:jc w:val="both"/>
      </w:pPr>
      <w:r>
        <w:rPr>
          <w:b w:val="0"/>
          <w:i w:val="0"/>
        </w:rPr>
        <w:t>2. If the obligation is duly performed this bond shall be void, otherwise it shall remain in force.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